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105B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《皮山县国有农用地租赁（承包）指导价格实施方案》的起草说明</w:t>
      </w:r>
    </w:p>
    <w:p w14:paraId="7B76D60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A29CC5F">
      <w:pPr>
        <w:snapToGrid w:val="0"/>
        <w:spacing w:line="574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一、起草背景</w:t>
      </w:r>
    </w:p>
    <w:p w14:paraId="30924B27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皮山县原有国有农用地无统一承包租赁指导价体系，各村自主定价自由裁量过大，长期存在同地不同价、低价发包、零租金流转、合同长期固定租金不调整等乱象；缺乏法定动态调价机制，土地价值与租金严重脱节，国有农用地资产收益流失风险突出；皮亚勒玛乡划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拨权证土地、前期农户自行开发土地等历史遗留问题处置无统一标准，土地流转信访纠纷多发；同时原有管理未建立基准地价定期更新、多部门联合监管制度，违规压价、改变农用地用途行为缺少明确处置抓手，不利于耕地粮食安全、草原林地生态保护，制约村集体经济增收与乡村振兴。依据国家、自治区、地区土地管理、自然资源评估相关法律法规及技术规范，结合我县国土变更调查、土壤普查、农用地基准地价成果，亟需出台统一指导价格管理制度，规范全县国有农用地定价全流程管理。</w:t>
      </w:r>
    </w:p>
    <w:p w14:paraId="7759EDB5">
      <w:pPr>
        <w:snapToGrid w:val="0"/>
        <w:spacing w:line="574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二、起草调研及征求意见过程</w:t>
      </w:r>
    </w:p>
    <w:p w14:paraId="50013117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前期调研阶段。县自然资源局联合农业农村局、林业和草原局，全覆盖摸排全县各乡镇国有农用地地类、等级、历年租金、历史合同、遗留权证地块，收集农业种植收益、周边流转市场价格数据，梳理六大类突出管理问题，形成基础调研台账。</w:t>
      </w:r>
    </w:p>
    <w:p w14:paraId="58C50E67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草案初稿编制。对照法律法规、地区指导价标准、国家估价技术规程，结合调研数据起草实施方案初稿，设置三年过渡期、分阶段定价、差异化历史地块处置、五年基准地价更新、合同规范、多部门监管等核心条款。</w:t>
      </w:r>
    </w:p>
    <w:p w14:paraId="1AC67776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3.多部门内部征求意见。向县农业农村局、林业和草原具、财政局、发改委、市场监督管理局等部门及各乡镇征求书面修改意见，将收集到的12条修改建议全部吸收，从而优化草案条款。</w:t>
      </w:r>
    </w:p>
    <w:p w14:paraId="4AE1AEE0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联合研究论证、进行风险评估。县自然资源局、农业农村局、林业和草原局三部门联合编制《实施研究论证报告》，完成必要性、可行性、风险评估，梳理舆情、执行偏差、推进不均衡三类潜在风险并配套应对措施。</w:t>
      </w:r>
    </w:p>
    <w:p w14:paraId="4EFEAC61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5.合法性初审：县司法局对草案开展合法性审查，确认所有条款符合土地管理、重大行政决策相关法律法规。</w:t>
      </w:r>
    </w:p>
    <w:p w14:paraId="1B27D963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6.形成送审稿：结合论证、合法性审查意见修改完善，形成本次提请政府常务会议审议的决策草案及实施方案文本。</w:t>
      </w:r>
    </w:p>
    <w:p w14:paraId="62CB5DC4">
      <w:pPr>
        <w:snapToGrid w:val="0"/>
        <w:spacing w:line="574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三、草案主要内容说明</w:t>
      </w:r>
    </w:p>
    <w:p w14:paraId="2ED907E3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1.明确适用范围：覆盖全县全部国有耕地、园地、林地、天然牧草地、其他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地承包、租赁、流转定价与监管。</w:t>
      </w:r>
    </w:p>
    <w:p w14:paraId="57106794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2.确立四大管理原则：依法依规、尊重历史、公平公正、公益优先。</w:t>
      </w:r>
    </w:p>
    <w:p w14:paraId="2B6289FC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3.双层定价机制：2026—2028年过渡期统一100元/亩・年基础指导价，2029年后依托农用地基准地价常态化定价；配套地区分级分地类基准价格表、皮亚勒玛乡历史地块专项标准、其他历史地块保底限价规则。</w:t>
      </w:r>
    </w:p>
    <w:p w14:paraId="7E544DA1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4.建立动态调价长效机制：五年基准地价全面更新、年度10%以内小幅微调、五类应急更新触发条件。</w:t>
      </w:r>
    </w:p>
    <w:p w14:paraId="03330577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5.合同刚性约束：强制约定调价条款，5年以上流转合同分段定价，禁止固定低价长期合同。</w:t>
      </w:r>
    </w:p>
    <w:p w14:paraId="57654FF7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6.清晰划分县自然资源局、农业农村局、林业和草原局、财政局等部门及各乡镇监管职责，构建三级监管体系；明确全域公示制度、违规整改、公职人员追责、资产损失法律追责处置条款；</w:t>
      </w:r>
    </w:p>
    <w:p w14:paraId="64B9973D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设置完整实施后评估机制，定期检验实施成效并动态优化政策。</w:t>
      </w:r>
    </w:p>
    <w:p w14:paraId="3EEBEE34">
      <w:pPr>
        <w:snapToGrid w:val="0"/>
        <w:spacing w:line="574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四、争议分歧及协调处理情况</w:t>
      </w:r>
    </w:p>
    <w:p w14:paraId="7C1E2212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关于历史遗留地块定价分歧：部分乡镇提出历史承包户前期土地投入大，不宜一刀切提价。协调方案：设置三年过渡期，存量老合同维持原价格，新增地块执行统一指导价，特殊历史地块可协商且不低于过渡期指导价60%，皮亚勒玛乡沿用既定40/60/80元分级标准，充分兼顾历史投入。</w:t>
      </w:r>
    </w:p>
    <w:p w14:paraId="2B0DFCEF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关于租金调整幅度分歧：经营主体担忧租金上涨压力过大。协调方案：年度微调幅度上限10%，分阶段平稳调价，以土地等级、灌溉条件、高标准农田建设成果差异化定价，对粮食种植地块适度倾斜，保障种粮收益。</w:t>
      </w:r>
    </w:p>
    <w:p w14:paraId="52AD21FB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3.关于部门监管权责分歧：多部门梳理职能边界，明确自然资源局管地价测算、农业农村局管流转合同、乡镇属地统筹，形成联动联合督查机制，杜绝监管空白。</w:t>
      </w:r>
    </w:p>
    <w:p w14:paraId="56FD8D1F">
      <w:pPr>
        <w:snapToGrid w:val="0"/>
        <w:spacing w:line="574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五、风险研判及应对措施</w:t>
      </w:r>
    </w:p>
    <w:p w14:paraId="581BD087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（一）主要潜在风险</w:t>
      </w:r>
    </w:p>
    <w:p w14:paraId="3E1BA4F5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部分老旧承包经营主体不理解价格调整，产生抵触情绪、信访舆情风险；部分乡镇、村（社区）执行标准不严，低价流转、公示不到位，出现政策落地偏差；合同规范、基准地价更新等工作推进不均衡，各地执行进度不一。</w:t>
      </w:r>
    </w:p>
    <w:p w14:paraId="459423A5"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（二）配套应对措施</w:t>
      </w:r>
    </w:p>
    <w:p w14:paraId="5F284635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分层全覆盖政策宣讲培训，村级公示标准，一对一答疑解读过渡期、历史地块优惠规则；县级部门常态化专项督查，建立问题整改台账，对执行不严单位、个人依规追责；统一业务操作流程、合同模板，定期下乡业务指导，均衡推进全县各项工作；建立乡镇价格纠纷前置调解机制，第一时间化解矛盾，维护基层稳定。</w:t>
      </w:r>
    </w:p>
    <w:p w14:paraId="271A5438">
      <w:pPr>
        <w:snapToGrid w:val="0"/>
        <w:spacing w:line="574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六、实施预期效益</w:t>
      </w:r>
    </w:p>
    <w:p w14:paraId="381DB093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1.法治效益：补齐我县国有农用地价格管理制度短板，落实土地有偿使用法定职责，实现土地管理法治化、规范化。</w:t>
      </w:r>
    </w:p>
    <w:p w14:paraId="660BD523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2.资产效益：杜绝低价发包、资产流失，稳定提升国有农用地租金收益，壮大村集体经济。</w:t>
      </w:r>
    </w:p>
    <w:p w14:paraId="6EFC8278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3.稳定效益：统一历史遗留问题处置标准，从源头减少土地流转纠纷、信访矛盾。</w:t>
      </w:r>
    </w:p>
    <w:p w14:paraId="68261EDE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4.产业生态效益：依靠价格杠杆守住耕地粮食安全、林地草原生态底线，推动土地规模化、集约化、高标准农田建设。</w:t>
      </w:r>
    </w:p>
    <w:p w14:paraId="197B0C6F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5.治理效益：构建多部门协同、公开透明、动态可调长效监管体系，提升基层土地治理能力。</w:t>
      </w:r>
    </w:p>
    <w:p w14:paraId="2098B360">
      <w:pPr>
        <w:snapToGrid w:val="0"/>
        <w:spacing w:line="574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七、其他需要说明事项</w:t>
      </w:r>
    </w:p>
    <w:p w14:paraId="1D26346E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1.本方案自县人民政府常务会议审议印发之日起施行，原有本县农用地价格管理规定与本方案不一致的，以本方案为准；国家、自治区、地区出台新政策的，依法按照新规定执行。</w:t>
      </w:r>
    </w:p>
    <w:p w14:paraId="5DB62F89">
      <w:pPr>
        <w:snapToGrid w:val="0"/>
        <w:spacing w:line="57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2.方案实施全程严格履行重大行政决策法定程序，完成公众参与、论证、风险评估、合法性审查、集体讨论、实施后评估全流程闭环管理。</w:t>
      </w:r>
    </w:p>
    <w:p w14:paraId="314A70DD">
      <w:pPr>
        <w:spacing w:line="560" w:lineRule="exact"/>
        <w:ind w:firstLine="420" w:firstLineChars="200"/>
      </w:pPr>
    </w:p>
    <w:p w14:paraId="0FD89CD0">
      <w:pPr>
        <w:spacing w:line="560" w:lineRule="exact"/>
        <w:ind w:firstLine="420" w:firstLineChars="200"/>
      </w:pPr>
    </w:p>
    <w:p w14:paraId="040498D4">
      <w:pPr>
        <w:snapToGrid w:val="0"/>
        <w:spacing w:line="574" w:lineRule="exact"/>
        <w:ind w:firstLine="4800" w:firstLineChars="15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皮山县自然资源局</w:t>
      </w:r>
    </w:p>
    <w:p w14:paraId="3F67B882">
      <w:pPr>
        <w:snapToGrid w:val="0"/>
        <w:spacing w:line="574" w:lineRule="exact"/>
        <w:ind w:firstLine="4800" w:firstLineChars="15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p w14:paraId="091E359C">
      <w:pPr>
        <w:spacing w:line="560" w:lineRule="exact"/>
        <w:ind w:firstLine="420" w:firstLineChars="200"/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69E3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FC6BD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FC6BD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7A6C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20"/>
    <w:rsid w:val="005740CB"/>
    <w:rsid w:val="005C12CE"/>
    <w:rsid w:val="00665C20"/>
    <w:rsid w:val="007913CB"/>
    <w:rsid w:val="00871E02"/>
    <w:rsid w:val="00A67339"/>
    <w:rsid w:val="00C32B2C"/>
    <w:rsid w:val="00CC4C1E"/>
    <w:rsid w:val="00DF2976"/>
    <w:rsid w:val="00E67696"/>
    <w:rsid w:val="00EA260C"/>
    <w:rsid w:val="0ED83C02"/>
    <w:rsid w:val="164675C4"/>
    <w:rsid w:val="2AF66591"/>
    <w:rsid w:val="2B331BB8"/>
    <w:rsid w:val="2BCD6DAC"/>
    <w:rsid w:val="3477079F"/>
    <w:rsid w:val="36854C85"/>
    <w:rsid w:val="3B4C481D"/>
    <w:rsid w:val="44F81706"/>
    <w:rsid w:val="46A55988"/>
    <w:rsid w:val="489A638C"/>
    <w:rsid w:val="4A396B13"/>
    <w:rsid w:val="4EAE2523"/>
    <w:rsid w:val="543213BA"/>
    <w:rsid w:val="5FE27783"/>
    <w:rsid w:val="72D8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330" w:after="330"/>
      <w:ind w:firstLine="880" w:firstLineChars="200"/>
      <w:jc w:val="left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/>
      <w:ind w:firstLine="880" w:firstLineChars="200"/>
      <w:outlineLvl w:val="1"/>
    </w:pPr>
    <w:rPr>
      <w:rFonts w:ascii="Arial" w:hAnsi="Arial" w:eastAsia="楷体_GB2312"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2176</Words>
  <Characters>2226</Characters>
  <Lines>16</Lines>
  <Paragraphs>4</Paragraphs>
  <TotalTime>43</TotalTime>
  <ScaleCrop>false</ScaleCrop>
  <LinksUpToDate>false</LinksUpToDate>
  <CharactersWithSpaces>2226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2026-07-04T09:54:00Z</dcterms:created>
  <dc:creator>admin</dc:creator>
  <cp:lastModifiedBy>Administrator</cp:lastModifiedBy>
  <cp:lastPrinted>2026-07-07T08:09:00Z</cp:lastPrinted>
  <dcterms:modified xsi:type="dcterms:W3CDTF">2026-07-08T09:09:59Z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eyJoZGlkIjoiNzk4ZjNmYjZhZDU3NmVkNTdkM2I1ZWVmZDBlOTBhMzciLCJ1c2VySWQiOiIxMzc4MzY4MTkzIn0=</vt:lpwstr>
  </property>
  <property fmtid="{D5CDD505-2E9C-101B-9397-08002B2CF9AE}" pid="4" name="ICV">
    <vt:lpwstr>75E82A982676430888C2E69FD7D2A4DA_13</vt:lpwstr>
  </property>
</Properties>
</file>