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DA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关于《皮山县国有农用地租赁（承包）指导价格实施方案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（草案）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》征求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意见稿</w:t>
      </w:r>
    </w:p>
    <w:p w14:paraId="42928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right="0"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A080B2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jc w:val="both"/>
        <w:textAlignment w:val="auto"/>
        <w:rPr>
          <w:rFonts w:hint="eastAsia" w:ascii="仿宋_GB2312" w:hAnsi="仿宋_GB2312" w:cs="仿宋_GB2312"/>
          <w:kern w:val="2"/>
          <w:szCs w:val="32"/>
        </w:rPr>
      </w:pPr>
      <w:r>
        <w:rPr>
          <w:rFonts w:hint="eastAsia" w:ascii="仿宋_GB2312" w:hAnsi="仿宋_GB2312" w:cs="仿宋_GB2312"/>
          <w:kern w:val="2"/>
          <w:szCs w:val="32"/>
        </w:rPr>
        <w:t>一、决策事项</w:t>
      </w:r>
    </w:p>
    <w:p w14:paraId="71A0F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为规范皮山县行政辖区内国有耕地、园地、林地、草地等国有农用地承包、租赁、流转定价、动态调价、合同管理、全流程监管工作，出台统一指导价格管理制度，建立基准地价五年更新、年度小幅微调机制，分过渡期（2026—2028年）、常态化阶段（2029年后）实行差异化定价，妥善处置历史遗留国有农用地低价发包、资产流失、定价混乱、合同租金固化等突出问题，构建公开透明、动态可调、权责清晰的国有农用地价格管控长效体系。</w:t>
      </w:r>
    </w:p>
    <w:p w14:paraId="46DFB63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Autospacing="0" w:line="560" w:lineRule="exact"/>
        <w:ind w:right="0" w:firstLine="640"/>
        <w:jc w:val="both"/>
        <w:textAlignment w:val="auto"/>
        <w:rPr>
          <w:rFonts w:hint="eastAsia" w:ascii="仿宋_GB2312" w:hAnsi="仿宋_GB2312" w:cs="仿宋_GB2312"/>
          <w:kern w:val="2"/>
          <w:szCs w:val="32"/>
        </w:rPr>
      </w:pPr>
      <w:r>
        <w:rPr>
          <w:rFonts w:hint="eastAsia" w:ascii="仿宋_GB2312" w:hAnsi="仿宋_GB2312" w:cs="仿宋_GB2312"/>
          <w:kern w:val="2"/>
          <w:szCs w:val="32"/>
        </w:rPr>
        <w:t>二、决策目标</w:t>
      </w:r>
    </w:p>
    <w:p w14:paraId="0F5EC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1.规范市场秩序目标：统一全县国有农用地分级分类定价标准，杜绝同地不同价、零租金、长期固定低价、私下违规流转乱象，实现全县农用地流转交易标准化、规范化管理。</w:t>
      </w:r>
    </w:p>
    <w:p w14:paraId="41541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2.资产保值增值目标：堵住国有农用地资产收益流失漏洞，合理提升国有农用地租赁承包收益，壮大村集体经济，拓宽村级经营性收入渠道，助力乡村振兴。</w:t>
      </w:r>
    </w:p>
    <w:p w14:paraId="5236D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3.长效机制建设目标：建成以农用地基准地价为核心的动态调价制度，落实五年基准地价更新、年度小幅微调机制，从制度层面解决租金长期固化、价格与土地价值脱节问题。</w:t>
      </w:r>
    </w:p>
    <w:p w14:paraId="1C621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4.底线管控目标：以价格杠杆严守耕地粮食安全底线、草原与林地生态保护红线，引导农用地规模化、集约化合规利用，推动高标准农田建设、土壤改良、特色林果与畜牧业有序发展。</w:t>
      </w:r>
    </w:p>
    <w:p w14:paraId="79CFF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5.监管闭环目标：建立多部门联动监管、全域价格公示、违规追责处置机制，明确部门、乡镇、村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社区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三级管理权责，形成定价、签约、收缴、督查、整改全链条监管体系。</w:t>
      </w:r>
    </w:p>
    <w:p w14:paraId="3B384CE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Autospacing="0" w:line="560" w:lineRule="exact"/>
        <w:ind w:right="0" w:firstLine="640"/>
        <w:jc w:val="both"/>
        <w:textAlignment w:val="auto"/>
        <w:rPr>
          <w:rFonts w:hint="eastAsia" w:ascii="仿宋_GB2312" w:hAnsi="仿宋_GB2312" w:cs="仿宋_GB2312"/>
          <w:kern w:val="2"/>
          <w:szCs w:val="32"/>
        </w:rPr>
      </w:pPr>
      <w:r>
        <w:rPr>
          <w:rFonts w:hint="eastAsia" w:ascii="仿宋_GB2312" w:hAnsi="仿宋_GB2312" w:cs="仿宋_GB2312"/>
          <w:kern w:val="2"/>
          <w:szCs w:val="32"/>
        </w:rPr>
        <w:t>三、决策依据</w:t>
      </w:r>
    </w:p>
    <w:p w14:paraId="79EB0BA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Autospacing="0" w:line="560" w:lineRule="exact"/>
        <w:ind w:right="0" w:firstLine="640"/>
        <w:textAlignment w:val="auto"/>
      </w:pPr>
      <w:r>
        <w:rPr>
          <w:rFonts w:hint="eastAsia"/>
        </w:rPr>
        <w:t>（一）法律法规依据</w:t>
      </w:r>
    </w:p>
    <w:p w14:paraId="492B5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1.《中华人民共和国土地管理法》，明确国有土地有偿使用、规范土地交易价格、保障国有土地资产收益法定要求。</w:t>
      </w:r>
    </w:p>
    <w:p w14:paraId="1F069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2.《中华人民共和国农村土地承包法》，规范土地流转行为、维护流转双方合法权益、规范流转价格秩序。</w:t>
      </w:r>
    </w:p>
    <w:p w14:paraId="5BEE1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3.《新疆维吾尔自治区实施〈中华人民共和国土地管理法〉办法》第四十七条，要求县市建立基准地价、标定地价公示地价体系及定期更新制度。</w:t>
      </w:r>
    </w:p>
    <w:p w14:paraId="5824760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Autospacing="0" w:line="560" w:lineRule="exact"/>
        <w:ind w:right="0" w:firstLine="640"/>
        <w:textAlignment w:val="auto"/>
      </w:pPr>
      <w:r>
        <w:rPr>
          <w:rFonts w:hint="eastAsia"/>
        </w:rPr>
        <w:t>（二）政策文件依据</w:t>
      </w:r>
    </w:p>
    <w:p w14:paraId="09D01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1.自然资源部办公厅《关于做好2022年度自然资源评价评估工作的通知》（自然资办发〔2022〕13号）。</w:t>
      </w:r>
    </w:p>
    <w:p w14:paraId="10203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2.新疆维吾尔自治区自然资源厅《关于做好自治区 2021 年度自然资源评价评估有关工作的通知》（新自然资办函〔2021〕18号）。</w:t>
      </w:r>
    </w:p>
    <w:p w14:paraId="3E813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3.和田地区行署审议通过《皮山县国有农用地租赁（承包）参考（指导）价格标准说明》。</w:t>
      </w:r>
    </w:p>
    <w:p w14:paraId="7EF86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4.国务院《重大行政决策程序暂行条例》、新疆维吾尔自治区重大行政决策程序相关规定。</w:t>
      </w:r>
    </w:p>
    <w:p w14:paraId="1BDD40E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textAlignment w:val="auto"/>
      </w:pPr>
      <w:r>
        <w:rPr>
          <w:rFonts w:hint="eastAsia"/>
        </w:rPr>
        <w:t>（三）技术标准依据</w:t>
      </w:r>
    </w:p>
    <w:p w14:paraId="120FC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1.《农用地估价规程》（GB/T28406-2012）。</w:t>
      </w:r>
    </w:p>
    <w:p w14:paraId="02D23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2.《农用地定级规程》（GB/T28405-2012）。</w:t>
      </w:r>
    </w:p>
    <w:p w14:paraId="56CAA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3.《自然资源价格评估通则》（TD/T1061-2021）。</w:t>
      </w:r>
    </w:p>
    <w:p w14:paraId="36DF14A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textAlignment w:val="auto"/>
      </w:pPr>
      <w:r>
        <w:rPr>
          <w:rFonts w:hint="eastAsia"/>
        </w:rPr>
        <w:t>（四）现实工作依据</w:t>
      </w:r>
    </w:p>
    <w:p w14:paraId="27291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1.皮山县第三次国土变更调查、第三次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全国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土壤普查、全域农用地定级与基准地价最新成果。</w:t>
      </w:r>
    </w:p>
    <w:p w14:paraId="6F3AD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2.县域各乡镇国有农用地历史发包台账、历年流转租金、农业种植投入产出收益数据。</w:t>
      </w:r>
    </w:p>
    <w:p w14:paraId="3EFEB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3.全县各乡镇国有农用地低价流转、长期固定租金、历史权证地块、前期自主开发土地等实地调研摸排情况。</w:t>
      </w:r>
    </w:p>
    <w:p w14:paraId="4DA2D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4.全县土地流转纠纷、信访案件梳理汇总，现有定价无统一标准、监管无处置抓手等突出问题清单。</w:t>
      </w:r>
    </w:p>
    <w:p w14:paraId="7A4BE9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jc w:val="both"/>
        <w:textAlignment w:val="auto"/>
        <w:rPr>
          <w:rFonts w:hint="eastAsia" w:ascii="仿宋_GB2312" w:hAnsi="仿宋_GB2312" w:cs="仿宋_GB2312"/>
          <w:kern w:val="2"/>
          <w:szCs w:val="32"/>
        </w:rPr>
      </w:pPr>
      <w:r>
        <w:rPr>
          <w:rFonts w:hint="eastAsia" w:ascii="仿宋_GB2312" w:hAnsi="仿宋_GB2312" w:cs="仿宋_GB2312"/>
          <w:kern w:val="2"/>
          <w:szCs w:val="32"/>
        </w:rPr>
        <w:t>四、工作任务</w:t>
      </w:r>
    </w:p>
    <w:p w14:paraId="4D4C909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textAlignment w:val="auto"/>
      </w:pPr>
      <w:r>
        <w:rPr>
          <w:rFonts w:hint="eastAsia"/>
        </w:rPr>
        <w:t>（一）制度体系搭建任务</w:t>
      </w:r>
    </w:p>
    <w:p w14:paraId="0D537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1.正式印发《皮山县国有农用地租赁（承包）指导价格实施方案》，明确总则、定价依据、基准地价更新、分阶段价格标准、合同管理、部门监管、违规处置全章节制度条款。</w:t>
      </w:r>
    </w:p>
    <w:p w14:paraId="563FA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2.统一发布和田地区分级分地类基准指导价（耕地/园地/林地/草地分级单价），明确2026—2028过渡期基础指导价、2029年后常态化基准地价定价模式。</w:t>
      </w:r>
    </w:p>
    <w:p w14:paraId="640FF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3.制定历史遗留宗地差异化定价细则：皮亚勒玛乡划拨权证土地40/60/80元/亩・年分级标准、其他乡镇历史地块保底限价（不低于过渡期指导价60%）协商规则。</w:t>
      </w:r>
    </w:p>
    <w:p w14:paraId="5291427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textAlignment w:val="auto"/>
      </w:pPr>
      <w:r>
        <w:rPr>
          <w:rFonts w:hint="eastAsia"/>
        </w:rPr>
        <w:t>（二）基准地价动态更新任务</w:t>
      </w:r>
    </w:p>
    <w:p w14:paraId="29AEA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1.落实农用地基准地价五年定期更新制度，明确产业结构剧变、市场价格大幅波动、土地质量大幅提升、重大政策出台四类应急更新触发情形。</w:t>
      </w:r>
    </w:p>
    <w:p w14:paraId="2D2A5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2.建立年度价格微调机制，每年结合农业收益、市场行情小幅调整指导价格，年度调整幅度控制在10%以内。</w:t>
      </w:r>
    </w:p>
    <w:p w14:paraId="4D2C4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3.规范基准地价更新流程：自查评估→前期准备→成果编制→意见征询→听证审查→自治区评审备案→社会公开发布。</w:t>
      </w:r>
    </w:p>
    <w:p w14:paraId="37210E7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textAlignment w:val="auto"/>
      </w:pPr>
      <w:r>
        <w:rPr>
          <w:rFonts w:hint="eastAsia"/>
        </w:rPr>
        <w:t>（三）流转合同规范任务</w:t>
      </w:r>
    </w:p>
    <w:p w14:paraId="0A33D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1.统一国有农用地承包、租赁流转标准合同文本，强制嵌入价格调整周期、调整依据、核算方式条款。</w:t>
      </w:r>
    </w:p>
    <w:p w14:paraId="00CCF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2.禁止签订长期固定租金、零租金、无偿使用合同；流转期限超5年必须按基准地价更新周期分段约定租金价格。</w:t>
      </w:r>
    </w:p>
    <w:p w14:paraId="52DCA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3.各乡镇完成存量老旧合同全面梳理，建立台账，对不符合调价要求的存量合同逐步规范整改。</w:t>
      </w:r>
    </w:p>
    <w:p w14:paraId="7569EE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jc w:val="both"/>
        <w:textAlignment w:val="auto"/>
        <w:rPr>
          <w:rFonts w:hint="eastAsia" w:ascii="仿宋_GB2312" w:hAnsi="仿宋_GB2312" w:cs="仿宋_GB2312"/>
          <w:kern w:val="2"/>
          <w:szCs w:val="32"/>
        </w:rPr>
      </w:pPr>
      <w:r>
        <w:rPr>
          <w:rFonts w:hint="eastAsia" w:ascii="仿宋_GB2312" w:hAnsi="仿宋_GB2312" w:cs="仿宋_GB2312"/>
          <w:kern w:val="2"/>
          <w:szCs w:val="32"/>
        </w:rPr>
        <w:t>五、措施方法</w:t>
      </w:r>
    </w:p>
    <w:p w14:paraId="7BF7D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1.制度固化措施：以县政府正式发文形式出台实施方案，作为全县国有农用地定价唯一法定依据，原有相关管理规定与本方案冲突的统一以本方案为准。</w:t>
      </w:r>
    </w:p>
    <w:p w14:paraId="6E41D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2.数据支撑测算措施：依托国土变更、土壤普查、农用地定级基准地价成果，结合各乡镇农业收益、周边流转行情开展价格科学测算。</w:t>
      </w:r>
    </w:p>
    <w:p w14:paraId="6ED27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3.分类处置措施：分新增流转地块、存量历史合同、划拨权证历史地块、前期自主开发土地四类实行差异化定价方案。</w:t>
      </w:r>
    </w:p>
    <w:p w14:paraId="1B446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4.合同源头管控措施：所有国有农用地流转合同实行乡镇、行业主管部门双重审核，无调价条款不予备案。</w:t>
      </w:r>
    </w:p>
    <w:p w14:paraId="2A9AC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5.公开监督措施：实行价格标准、调整结果、违规处置情况全域公开，接受群众监督、信访举报。</w:t>
      </w:r>
    </w:p>
    <w:p w14:paraId="0FF9D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6.联合执法处置措施：自然资源、农业农村联合开展专项督查，对违规低价发包、改变地类用途责令限期整改；涉及公职人员履职缺位移交纪检监察机关追责；造成国有资产损失依法追究法律责任。</w:t>
      </w:r>
    </w:p>
    <w:p w14:paraId="7F599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7.风险化解措施：政策全覆盖宣讲、分层业务培训、乡镇纠纷前置调解、常态化督查纠偏，防范舆情、信访、执行偏差风险。</w:t>
      </w:r>
    </w:p>
    <w:p w14:paraId="2C11DAC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jc w:val="both"/>
        <w:textAlignment w:val="auto"/>
        <w:rPr>
          <w:rFonts w:hint="eastAsia" w:ascii="仿宋_GB2312" w:hAnsi="仿宋_GB2312" w:cs="仿宋_GB2312"/>
          <w:kern w:val="2"/>
          <w:szCs w:val="32"/>
        </w:rPr>
      </w:pPr>
      <w:r>
        <w:rPr>
          <w:rFonts w:hint="eastAsia" w:ascii="仿宋_GB2312" w:hAnsi="仿宋_GB2312" w:cs="仿宋_GB2312"/>
          <w:kern w:val="2"/>
          <w:szCs w:val="32"/>
        </w:rPr>
        <w:t>六、决策事项执行</w:t>
      </w:r>
    </w:p>
    <w:p w14:paraId="4402CDA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textAlignment w:val="auto"/>
      </w:pPr>
      <w:r>
        <w:rPr>
          <w:rFonts w:hint="eastAsia"/>
        </w:rPr>
        <w:t>（一）牵头执行单位</w:t>
      </w:r>
    </w:p>
    <w:p w14:paraId="3A982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1.县自然资源局：牵头农用地定级、基准地价评估更新、价格标准测算、方案统筹、多部门协调、全域价格监管。</w:t>
      </w:r>
    </w:p>
    <w:p w14:paraId="7AEF0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2.县农业农村局：农用地流转合同审核、流转市场监管、农业收益数据收集、违规流转整改处置、流转纠纷调解；</w:t>
      </w:r>
    </w:p>
    <w:p w14:paraId="40373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3.县林业和草原局：林地、天然牧草地、其他草地价格管控，草原生态、林地用途监管。</w:t>
      </w:r>
    </w:p>
    <w:p w14:paraId="211241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textAlignment w:val="auto"/>
      </w:pPr>
      <w:r>
        <w:rPr>
          <w:rFonts w:hint="eastAsia"/>
        </w:rPr>
        <w:t>七、经费预算</w:t>
      </w:r>
    </w:p>
    <w:p w14:paraId="545F1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为高质量完成2026年度《皮山县国有农用地租赁（承包）指导价格实施方案》专项工作任务，本次预算全部由单位自有资金统筹保障，不申报财政资金，不涉及任何财政预算支出安排，资金使用严格执行内部财务审批、报销管理制度。</w:t>
      </w:r>
    </w:p>
    <w:p w14:paraId="5E6B37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textAlignment w:val="auto"/>
      </w:pPr>
      <w:r>
        <w:rPr>
          <w:rFonts w:hint="eastAsia"/>
        </w:rPr>
        <w:t>八、决策实施后评估计划</w:t>
      </w:r>
    </w:p>
    <w:p w14:paraId="5240491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textAlignment w:val="auto"/>
      </w:pPr>
      <w:r>
        <w:rPr>
          <w:rFonts w:hint="eastAsia"/>
        </w:rPr>
        <w:t>（一）评估时点设置</w:t>
      </w:r>
    </w:p>
    <w:p w14:paraId="0741A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1.周期全面评估（五年基准地价更新同步评估）：每5年农用地基准地价更新完成后15日内同步开展全周期实施效果评估。</w:t>
      </w:r>
    </w:p>
    <w:p w14:paraId="7D7B4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2.专项应急评估：出现大规模群众信访、市场价格剧烈波动、重大政策调整等情形，即时启动专项评估。</w:t>
      </w:r>
    </w:p>
    <w:p w14:paraId="7CBA2F6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textAlignment w:val="auto"/>
      </w:pPr>
      <w:r>
        <w:rPr>
          <w:rFonts w:hint="eastAsia"/>
        </w:rPr>
        <w:t>（二）评估牵头与参与单位</w:t>
      </w:r>
    </w:p>
    <w:p w14:paraId="0DBA7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牵头：县自然资源局、农业农村局、林业和草原局。参与:县水利局、审计局、司法局、各乡镇，可邀请农业、土地估价行业专家参与第三方评估。</w:t>
      </w:r>
    </w:p>
    <w:p w14:paraId="44C9016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textAlignment w:val="auto"/>
      </w:pPr>
      <w:r>
        <w:rPr>
          <w:rFonts w:hint="eastAsia"/>
        </w:rPr>
        <w:t>（三）核心评估指标</w:t>
      </w:r>
    </w:p>
    <w:p w14:paraId="6E47D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1.制度执行指标：全县新增流转合同合规率、调价条款覆盖率、价格公示到位率。</w:t>
      </w:r>
    </w:p>
    <w:p w14:paraId="54AF9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2.资产收益指标：国有农用地年均租金增收总额、低价发包存量地块整改完成比例。</w:t>
      </w:r>
    </w:p>
    <w:p w14:paraId="6EC80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3.市场秩序指标：同地不同价、零租金、无偿使用等违规流转问题发生率下降幅度。</w:t>
      </w:r>
    </w:p>
    <w:p w14:paraId="0ACD3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4.群众满意度指标：经营主体、村集体对定价政策、过渡期安排的认可程度。</w:t>
      </w:r>
    </w:p>
    <w:p w14:paraId="7DE515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textAlignment w:val="auto"/>
      </w:pPr>
      <w:r>
        <w:rPr>
          <w:rFonts w:hint="eastAsia"/>
        </w:rPr>
        <w:t>（四）评估方式</w:t>
      </w:r>
    </w:p>
    <w:p w14:paraId="586EA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1.台账数据核查：调取各乡镇流转合同、租金收缴台账、督查整改记录。</w:t>
      </w:r>
    </w:p>
    <w:p w14:paraId="2862A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2.实地走访调研：覆盖不同地类、不同乡镇、历史遗留地块实地走访经营户、村两委。</w:t>
      </w:r>
    </w:p>
    <w:p w14:paraId="6CEB9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3.问卷与座谈：组织乡镇干部、承包大户、企业、村干部开展座谈，发放满意度问卷。</w:t>
      </w:r>
    </w:p>
    <w:p w14:paraId="251D1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4.数据对比分析：对比实施前后租金收益、纠纷数量、违规发包数量变化。</w:t>
      </w:r>
    </w:p>
    <w:p w14:paraId="695C5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5.专家评审：土地估价、农业行业专家对定价机制科学性、合理性评审。</w:t>
      </w:r>
    </w:p>
    <w:p w14:paraId="16939B6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afterAutospacing="0" w:line="560" w:lineRule="exact"/>
        <w:ind w:right="0" w:firstLine="640"/>
        <w:textAlignment w:val="auto"/>
      </w:pPr>
      <w:r>
        <w:rPr>
          <w:rFonts w:hint="eastAsia"/>
        </w:rPr>
        <w:t>（五）评估结果运用与整改机制</w:t>
      </w:r>
    </w:p>
    <w:p w14:paraId="37BDF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1.形成完整《实施效果评估报告》，报送县委县政府。</w:t>
      </w:r>
    </w:p>
    <w:p w14:paraId="0D39C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2.评估发现制度漏洞、执行短板、群众集中诉求的，对方案条款进行修订、完善配套细则。</w:t>
      </w:r>
    </w:p>
    <w:p w14:paraId="7DE87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3.评估确认风险突出、落地阻力较大的，优化过渡期、差异化定价、宣传调解配套措施。</w:t>
      </w:r>
    </w:p>
    <w:p w14:paraId="59E8F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4.评估结果作为下一轮基准地价更新、年度价格微调、部门年度绩效考核重要依据。</w:t>
      </w:r>
    </w:p>
    <w:p w14:paraId="5A228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5.评估报告及整改落实情况向社会简要公开，接受群众监督。</w:t>
      </w:r>
    </w:p>
    <w:p w14:paraId="582E1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7C6B3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2FB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560" w:lineRule="exact"/>
        <w:ind w:right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皮山县自然资源局</w:t>
      </w:r>
    </w:p>
    <w:p w14:paraId="1A1DD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Autospacing="0" w:line="560" w:lineRule="exact"/>
        <w:ind w:right="0" w:firstLine="640" w:firstLineChars="200"/>
        <w:jc w:val="center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2026年7月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</w:rPr>
        <w:t>日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CC5E3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F3646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F3646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DA62D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D54"/>
    <w:rsid w:val="00307461"/>
    <w:rsid w:val="00771D54"/>
    <w:rsid w:val="00B17860"/>
    <w:rsid w:val="00B61EFE"/>
    <w:rsid w:val="00E67696"/>
    <w:rsid w:val="12184993"/>
    <w:rsid w:val="230D6B74"/>
    <w:rsid w:val="28947648"/>
    <w:rsid w:val="2B4A36AA"/>
    <w:rsid w:val="32401377"/>
    <w:rsid w:val="3565657C"/>
    <w:rsid w:val="3B6822ED"/>
    <w:rsid w:val="40D94361"/>
    <w:rsid w:val="415B7700"/>
    <w:rsid w:val="4BDE5BC4"/>
    <w:rsid w:val="4E452297"/>
    <w:rsid w:val="537B0CA3"/>
    <w:rsid w:val="59BB3A29"/>
    <w:rsid w:val="60CE4002"/>
    <w:rsid w:val="630E46A2"/>
    <w:rsid w:val="6B4519CC"/>
    <w:rsid w:val="6EAC67D5"/>
    <w:rsid w:val="6FCC3E02"/>
    <w:rsid w:val="70B07280"/>
    <w:rsid w:val="79530D58"/>
    <w:rsid w:val="7CEB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60" w:lineRule="exact"/>
      <w:ind w:firstLine="880" w:firstLineChars="200"/>
      <w:jc w:val="left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/>
      <w:ind w:firstLine="880" w:firstLineChars="200"/>
      <w:outlineLvl w:val="1"/>
    </w:pPr>
    <w:rPr>
      <w:rFonts w:ascii="Arial" w:hAnsi="Arial" w:eastAsia="楷体_GB2312"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3186</Words>
  <Characters>3328</Characters>
  <Lines>24</Lines>
  <Paragraphs>6</Paragraphs>
  <TotalTime>45</TotalTime>
  <ScaleCrop>false</ScaleCrop>
  <LinksUpToDate>false</LinksUpToDate>
  <CharactersWithSpaces>3331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2026-07-04T09:29:00Z</dcterms:created>
  <dc:creator>admin</dc:creator>
  <cp:lastModifiedBy>Administrator</cp:lastModifiedBy>
  <cp:lastPrinted>2026-07-08T02:24:00Z</cp:lastPrinted>
  <dcterms:modified xsi:type="dcterms:W3CDTF">2026-07-08T09:08:51Z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KSOTemplateDocerSaveRecord">
    <vt:lpwstr>eyJoZGlkIjoiNzk4ZjNmYjZhZDU3NmVkNTdkM2I1ZWVmZDBlOTBhMzciLCJ1c2VySWQiOiIxMzc4MzY4MTkzIn0=</vt:lpwstr>
  </property>
  <property fmtid="{D5CDD505-2E9C-101B-9397-08002B2CF9AE}" pid="4" name="ICV">
    <vt:lpwstr>E8CE064C49A84D6A829FCE241640548C_13</vt:lpwstr>
  </property>
</Properties>
</file>