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0351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</w:pPr>
      <w:bookmarkStart w:id="0" w:name="皮山县农业畜牧业十五五发展规划草案起草说明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《皮山县农业、畜牧业“</w:t>
      </w:r>
      <w:bookmarkStart w:id="12" w:name="_GoBack"/>
      <w:bookmarkEnd w:id="12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十五五”发展规划（草案）》起草说明</w:t>
      </w:r>
    </w:p>
    <w:p w14:paraId="25FDA8D3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482"/>
        <w:textAlignment w:val="auto"/>
        <w:rPr>
          <w:rFonts w:hint="eastAsia"/>
          <w:color w:val="auto"/>
          <w:lang w:eastAsia="zh-CN"/>
        </w:rPr>
      </w:pPr>
    </w:p>
    <w:p w14:paraId="4185B3FD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为深入贯彻落实党的二十大和二十届历次全会精神，完整准确全面贯彻新时代党的治疆方略，牢记中央赋予新疆“全国优质农牧产品重要供给基地”战略定位，我局牵头编制本规划，规划期限2026—2030年，现将起草有关情况说明如下。</w:t>
      </w:r>
    </w:p>
    <w:p w14:paraId="0705C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bookmarkStart w:id="1" w:name="一编制背景与必要性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一、编制背景与必要性</w:t>
      </w:r>
    </w:p>
    <w:p w14:paraId="7D7BCC48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十五五”是皮山县全面推进乡村振兴、加快建设农业强县、推动农业农村现代化的关键五年。“十四五”期间，全县粮食产能稳步提升，特色种植业实现跨越式发展，畜牧业转型升级成效显著，“稳粮、强畜、优果、兴特色”发展格局初步形成。但对照高质量发展要求，产业结构不优、产业链条短、水资源约束趋紧、规模化程度低、科技支撑不足、品牌影响力弱等短板仍存。</w:t>
      </w:r>
    </w:p>
    <w:p w14:paraId="34DC2705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一是落实上级战略部署的硬性要求。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对标国家、自治区及地区“十五五”规划、《加快建设农业强国规划（2024-2035）年》、中央一号文件及自治区党委、地委关于“三农”工作的系列部署，细化本地约束性指标与落地任务，切实扛起粮食安全政治责任。</w:t>
      </w:r>
    </w:p>
    <w:p w14:paraId="658B07BD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二是补齐农业农村发展短板的迫切需要。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皮山县地处暖温带大陆性干旱气候区，水资源匮乏与农业用水需求矛盾突出；畜牧业规模化养殖占比不足，良种覆盖率低，农产品加工转化率不高，冷链物流、品牌营销体系不完善；农村基础设施和公共服务仍有短板，亟需通过系统规划统筹解决。</w:t>
      </w:r>
    </w:p>
    <w:p w14:paraId="47B4378B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三是推动农牧业高质量发展的战略选择。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立足皮山红羊、和田青驴、皮亚曼石榴、克里阳雪菊、瓜蒌等特色资源优势，以科技创新为引领，推动“种植-养殖-加工-销售-旅游”全链融合，打造南疆现代农业示范样板，夯实边疆县域经济高质量发展根基。</w:t>
      </w:r>
    </w:p>
    <w:bookmarkEnd w:id="1"/>
    <w:p w14:paraId="66D08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bookmarkStart w:id="2" w:name="二编制主要依据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二、编制主要依据</w:t>
      </w:r>
    </w:p>
    <w:p w14:paraId="689783ED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1.政策文件：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中央关于全面推进美丽中国建设意见；《加快建设农业强国规划（2024-2035年）》；中央一号文件、中央经济工作会议、中央农村工作会议精神；《中共中央关于进一步全面深化改革推进中国式现代化的决定》；自治区党委十届历次全会及自治区党委1号文件等。</w:t>
      </w:r>
    </w:p>
    <w:p w14:paraId="1D9AE06F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2.法规标准：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《中华人民共和国农业法》；《中华人民共和国畜牧法》；《中华人民共和国动物防疫法》；《中华人民共和国农产品质量安全法》；《基本农田保护条例》等。</w:t>
      </w:r>
    </w:p>
    <w:p w14:paraId="06DBDF00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3.相关规划及资料：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国家、自治区及地区“十五五”规划；皮山县国土空间规划、生态红线及行业专项规划；皮山县“十四五”农业农村发展主要成就及基础数据资料。</w:t>
      </w:r>
      <w:bookmarkEnd w:id="0"/>
      <w:bookmarkEnd w:id="2"/>
    </w:p>
    <w:p w14:paraId="5AF2A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bookmarkStart w:id="3" w:name="三编制过程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三、编制过程</w:t>
      </w:r>
    </w:p>
    <w:p w14:paraId="4F1F8FB5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本规划由皮山县农业农村局牵头组织编制。编制过程中，系统总结了“十四五”时期全县农牧业发展成效与短板，深入分析了水资源承载力、环境承载力、产业基础和市场前景，充分吸纳了援疆省市先进经验，并广泛征求了相关部门、乡镇、农业企业和种养大户意见，经反复修改完善后形成本规划文本。</w:t>
      </w:r>
    </w:p>
    <w:bookmarkEnd w:id="3"/>
    <w:p w14:paraId="32B980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四、规划主要内容</w:t>
      </w:r>
    </w:p>
    <w:p w14:paraId="5552C74E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本规划共六章，约4.9万字，设置专栏14个，系统阐述了“十五五”时期皮山县农业、畜牧业发展的总体思路、目标任务、空间布局、重点工程和保障措施。</w:t>
      </w:r>
    </w:p>
    <w:p w14:paraId="0A208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bookmarkStart w:id="4" w:name="一总体框架"/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（一）总体框架</w:t>
      </w:r>
    </w:p>
    <w:p w14:paraId="6D7FDD34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规划采用“回顾-形势-目标-任务-重点项目-保障”的逻辑架构：</w:t>
      </w:r>
    </w:p>
    <w:p w14:paraId="56E40170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第一章总结“十四五”发展成就；</w:t>
      </w:r>
    </w:p>
    <w:p w14:paraId="3359974F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第二章分析面临的机遇与挑战；</w:t>
      </w:r>
    </w:p>
    <w:p w14:paraId="6817E7C1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第三章明确指导思想、基本原则、总体目标、空间布局；</w:t>
      </w:r>
    </w:p>
    <w:p w14:paraId="38177D7F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第四章部署八个方面重点发展目标；</w:t>
      </w:r>
    </w:p>
    <w:p w14:paraId="21AFC08F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第五章谋划96个重大工程和项目，总投资约88.03亿元；</w:t>
      </w:r>
    </w:p>
    <w:p w14:paraId="7CA75519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第六章提出十二项保障措施。</w:t>
      </w:r>
    </w:p>
    <w:bookmarkEnd w:id="4"/>
    <w:p w14:paraId="4FC6C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bookmarkStart w:id="5" w:name="二发展基础与形势判断"/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（二）发展基础与形势判断</w:t>
      </w:r>
    </w:p>
    <w:p w14:paraId="5A45C1F0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规划全面梳理了“十四五”时期在粮食安全保障、特色种植业跨越发展、畜牧业转型升级、产业融合及科技生态协同等方面取得的成效。同时，客观剖析了水资源约束突出、水利设施老化、特色种植产业化水平不足、畜牧业良种覆盖率低与疫病防控体系薄弱、产业融合深度不够、人才与品牌建设滞后等制约因素。</w:t>
      </w:r>
    </w:p>
    <w:bookmarkEnd w:id="5"/>
    <w:p w14:paraId="45765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bookmarkStart w:id="6" w:name="三指导思想基本原则与发展目标"/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（三）指导思想、基本原则与发展目标</w:t>
      </w:r>
    </w:p>
    <w:p w14:paraId="18DE2D62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1.指导思想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坚持以习近平新时代中国特色社会主义思想为指导，完整准确全面贯彻新时代党的治疆方略，牢记新疆“全国优质农牧产品重要供给基地”战略定位，以确保国家粮食安全、不发生规模性返贫为底线，以“稳粮、强畜、优果、兴特色”为主线，强化科技和改革双轮驱动，推进乡村全面振兴。</w:t>
      </w:r>
    </w:p>
    <w:p w14:paraId="0E4C0E27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2.基本原则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：坚持科学发展、市场导向、政府引导、特色发展、绿色发展、创新驱动、民生为本、产业融合八大原则。</w:t>
      </w:r>
    </w:p>
    <w:p w14:paraId="5A9A0CCD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3．主要发展目标（到2030年）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</w:p>
    <w:p w14:paraId="2552EF0A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粮食安全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：耕地面积稳定在68.36万亩，粮食播种面积45万亩以上，粮食综合生产能力19万吨。</w:t>
      </w:r>
    </w:p>
    <w:p w14:paraId="60BA02B9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畜牧业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：大牲畜存栏6万头以上（牛5万头以上），羊存栏68万只（其中皮山红羊40万只），家禽100万羽以上，兔15万只以上；肉总产量2万吨以上，奶类0.8万吨以上；畜禽粪污综合利用率70%—80%，畜产品加工转化率40%—50%。</w:t>
      </w:r>
    </w:p>
    <w:p w14:paraId="0411739A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特色农业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：林果总面积45—50万亩，总产量22万吨构建“林果、蔬菜、中药材、特色种植”四大产业链；瓜蒌、葛根等特色中草药种植10万亩。</w:t>
      </w:r>
    </w:p>
    <w:p w14:paraId="271D1833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生态环境与资源可持续利用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：优良水体比例保持在100%，农业灌溉水利用系数提升至0.61。严格落实水资源刚性约束制度，开展农业用水总量控制与用水效率双控管理。</w:t>
      </w:r>
    </w:p>
    <w:bookmarkEnd w:id="6"/>
    <w:p w14:paraId="3AFC6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bookmarkStart w:id="7" w:name="四空间布局与功能分区"/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（四）空间布局与功能分区</w:t>
      </w:r>
    </w:p>
    <w:p w14:paraId="077515EE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规划构建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“一核引领、两带联动、多区协同”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的空间格局：</w:t>
      </w:r>
    </w:p>
    <w:p w14:paraId="50B26496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一核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：以县城周边固玛镇、木奎拉乡、科克铁热克镇为核心的现代农业综合示范区，集示范、加工、物流于一体。</w:t>
      </w:r>
    </w:p>
    <w:p w14:paraId="65B96D7F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两带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：绿洲高效节水农业发展带（乔达乡、木吉镇、藏桂乡等南部乡镇，重点发展红枣、核桃、石榴、杏等特色林果）；农牧融合产业带（藏桂乡、科克铁热克镇、固玛镇、乔达乡等北部乡镇，以畜牧业主导）。</w:t>
      </w:r>
    </w:p>
    <w:p w14:paraId="30BE7F0C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多区协同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：设施农业示范区、特色林果产业区、畜禽养殖集聚区、饲草料生产基地、农产品加工物流区等功能区差异化发展。</w:t>
      </w:r>
    </w:p>
    <w:bookmarkEnd w:id="7"/>
    <w:p w14:paraId="551EB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bookmarkStart w:id="8" w:name="五重点任务"/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（五）重点任务</w:t>
      </w:r>
    </w:p>
    <w:p w14:paraId="0F96519E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规划部署以下七个方面重点任务：</w:t>
      </w:r>
    </w:p>
    <w:p w14:paraId="4187AFEF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1.全方位夯实粮食安全根基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：严守耕地红线，推进高标准农田建设和土地碎片化治理5万亩、盐碱地治理7.18万亩，实施粮油单产提升行动，推动农机装备升级。</w:t>
      </w:r>
    </w:p>
    <w:p w14:paraId="34C3893C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2.提升畜禽产业质量和规模效应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构建县有产业园、乡有规模养殖场、村有养殖示范户的产业体系；实施畜禽种业振兴，培育皮山红羊、和田青驴、昆仑玉鹅等育繁推体系；推进产业精准帮扶到户；健全动物疫病防控体系，强化调运监管和强制免疫；推广人工授精技术，良种覆盖率达90%。</w:t>
      </w:r>
    </w:p>
    <w:p w14:paraId="307176FF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3.大力推进绿色果蔬产业集群发展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：发展戈壁设施农业，新建日光温室760座；扶持中药材产业，建设瓜蒌、葛根全产业链；促进数字技术与现代农业融合。</w:t>
      </w:r>
    </w:p>
    <w:p w14:paraId="5C22F235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4.加大农产品规模化经营加工能力建设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：加强园区基础设施，培育农业产业化龙头企业，打造“皮亚曼石榴”、“皮山明星杏”等区域品牌，强化农产品质量安全检验检测体系建设。</w:t>
      </w:r>
    </w:p>
    <w:p w14:paraId="04E2394E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5.加快推进农业现代化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：发展智慧农业，建设智慧农业试点4000亩；培育新型经营主体，发展“企业+合作社+农户”模式。</w:t>
      </w:r>
    </w:p>
    <w:p w14:paraId="4796DB1E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6.高质量推进宜居宜业和美乡村建设：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推进农村供水、道路、网络、污水治理、厕所革命、垃圾收运处置等基础设施提档升级。</w:t>
      </w:r>
    </w:p>
    <w:p w14:paraId="6B58EC47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7.积极推动城乡融合发展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：推进城乡基础设施与公共服务一体化，深化农村土地制度改革，巩固拓展脱贫攻坚成果，建立常态化防返贫机制。</w:t>
      </w:r>
    </w:p>
    <w:bookmarkEnd w:id="8"/>
    <w:p w14:paraId="56EC0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bookmarkStart w:id="9" w:name="六重大工程和项目"/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（六）重大工程和项目</w:t>
      </w:r>
    </w:p>
    <w:p w14:paraId="5A5F0FF9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“十五五”期间，规划谋划实施96个重大项目，总投资规模约88.03亿元，计划通过中央预算内资金、行业专项资金、中央专项资金、援疆资金、债券资金及其他投资等6类渠道筹措。项目涵盖：</w:t>
      </w:r>
    </w:p>
    <w:p w14:paraId="3847B807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1.粮油产业类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（22个项目，3.82亿元）：包括种植业补贴、技术提升、农机服务、智慧农业等。</w:t>
      </w:r>
    </w:p>
    <w:p w14:paraId="46167D5F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2.畜牧产业类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（30个项目，6.96亿元）：包括扩产能（能繁母畜奖补）、优品种（红羊育种、保种场）、防疫病（粪污资源化利用、边境检测站）、重饲养（粮改饲、草原补奖）等。</w:t>
      </w:r>
    </w:p>
    <w:p w14:paraId="1744006D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3.优质绿色果蔬及特色种植类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（22个项目，47.51亿元）：包括戈壁设施农业、瓜蒌全产业链（15亿元）、葛根种植与精深加工（6亿元）、中药材基地等。</w:t>
      </w:r>
    </w:p>
    <w:p w14:paraId="72FAF9A3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4.巩固拓展脱贫攻坚成果类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（12个项目，11.75亿元）：基础设施融合、数字治理、冷链物流、农旅融合等。</w:t>
      </w:r>
    </w:p>
    <w:p w14:paraId="15DA24F2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5.精深加工类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（1个项目，0.50亿元）：建设设施农产品精深加工工程。</w:t>
      </w:r>
    </w:p>
    <w:p w14:paraId="6B525DF0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6.农田建设类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（3个项目，6.00亿元）：高标准农田建设、土地碎片化治理。</w:t>
      </w:r>
    </w:p>
    <w:p w14:paraId="4970C889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7.盐碱地综合开发利用类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：治理盐碱地7.18万亩，投资4.09亿元。</w:t>
      </w:r>
    </w:p>
    <w:p w14:paraId="311C62FF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8.和美乡村建设类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（5个项目，7.40亿元）：人居环境整治、污水管网、山区牧道、示范村建设等。</w:t>
      </w:r>
    </w:p>
    <w:bookmarkEnd w:id="9"/>
    <w:p w14:paraId="046B6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bookmarkStart w:id="10" w:name="七保障措施"/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（七）保障措施</w:t>
      </w:r>
    </w:p>
    <w:p w14:paraId="4393BDD4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规划提出十二项保障措施：加强组织领导，将粮食安全纳入党政领导考核；加大财政金融支持，推广活体生物资产质押贷款、贴息贷款；与高校科研院所合作，强化科技支撑；推进产购储加销协同；强化生态保护；强化服务保障体系；促进融合发展；促进农村改革和农民增收；强化农业干部队伍建设；加强教育培训；与兵团第十四师昆玉市合作推广皮山红羊，推进兵地融合发展；完善规划监督考核机制。</w:t>
      </w:r>
    </w:p>
    <w:bookmarkEnd w:id="10"/>
    <w:p w14:paraId="302F81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bookmarkStart w:id="11" w:name="五其他需要说明的事项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五、其他需要说明的事项</w:t>
      </w:r>
    </w:p>
    <w:p w14:paraId="1F2077F3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1.水资源刚性约束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皮山县2020—2030年水资源“三条红线”控制指标，“十五五”期间，所有新增农业、畜牧业及设施农业项目必须开展水资源论证，确保与区域水资源承载能力相匹配。特色作物种植（如瓜蒌、葛根）须编制专项水资源论证报告，经水利部门审查通过后实施。</w:t>
      </w:r>
    </w:p>
    <w:p w14:paraId="15A75925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2.草畜平衡与生态保护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：草场开发须符合草原保护制度要求，严格落实草畜平衡制度，推广轮牧+补饲、暖季放牧+冷季舍饲模式，防止草原退化与超载放牧。</w:t>
      </w:r>
    </w:p>
    <w:p w14:paraId="1933FA6E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3.投资估算与资金筹措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：规划项目总投资88.03亿元为估算规模，实际投资以批复为准。资金筹措坚持多渠道、多元化，积极争取中央预算内投资、专项债券、援疆资金及社会资本投入。</w:t>
      </w:r>
    </w:p>
    <w:p w14:paraId="60ECC5AF">
      <w:pPr>
        <w:pStyle w:val="16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4.规划衔接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：本规划与和田地区、皮山县“十五五”规划及国土空间规划、生态红线充分衔接，所有项目须符合国土空间规划和行业专项规划要求。</w:t>
      </w:r>
    </w:p>
    <w:bookmarkEnd w:id="11"/>
    <w:p w14:paraId="505FD20A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4293F194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2E79330C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0" w:firstLineChars="15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皮山县农业农村局</w:t>
      </w:r>
    </w:p>
    <w:p w14:paraId="2E657A0B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120" w:firstLineChars="16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2026年6月1日</w:t>
      </w:r>
    </w:p>
    <w:sectPr>
      <w:footerReference r:id="rId5" w:type="default"/>
      <w:pgSz w:w="12240" w:h="15840"/>
      <w:pgMar w:top="2098" w:right="1474" w:bottom="1984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74428C">
    <w:pPr>
      <w:jc w:val="center"/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180A"/>
    <w:rsid w:val="00034616"/>
    <w:rsid w:val="0006063C"/>
    <w:rsid w:val="00066110"/>
    <w:rsid w:val="0015074B"/>
    <w:rsid w:val="001E07CB"/>
    <w:rsid w:val="0029639D"/>
    <w:rsid w:val="002C2549"/>
    <w:rsid w:val="002F16E2"/>
    <w:rsid w:val="00326F90"/>
    <w:rsid w:val="003C5284"/>
    <w:rsid w:val="004A5510"/>
    <w:rsid w:val="004B14ED"/>
    <w:rsid w:val="004E0B0C"/>
    <w:rsid w:val="00640FD2"/>
    <w:rsid w:val="00655D33"/>
    <w:rsid w:val="00684D48"/>
    <w:rsid w:val="00732C09"/>
    <w:rsid w:val="00746E6C"/>
    <w:rsid w:val="007A6F00"/>
    <w:rsid w:val="007B2807"/>
    <w:rsid w:val="007D4B0C"/>
    <w:rsid w:val="00803016"/>
    <w:rsid w:val="00825E0E"/>
    <w:rsid w:val="00952135"/>
    <w:rsid w:val="009B5494"/>
    <w:rsid w:val="00A53F67"/>
    <w:rsid w:val="00A95E9D"/>
    <w:rsid w:val="00AA1D8D"/>
    <w:rsid w:val="00AB1835"/>
    <w:rsid w:val="00B44DA2"/>
    <w:rsid w:val="00B47730"/>
    <w:rsid w:val="00C004F4"/>
    <w:rsid w:val="00CB0664"/>
    <w:rsid w:val="00DE1F9C"/>
    <w:rsid w:val="00DE7C0C"/>
    <w:rsid w:val="00E3015E"/>
    <w:rsid w:val="00E837D4"/>
    <w:rsid w:val="00E977CF"/>
    <w:rsid w:val="00F65A1D"/>
    <w:rsid w:val="00FC693F"/>
    <w:rsid w:val="014F7C63"/>
    <w:rsid w:val="0C4D0807"/>
    <w:rsid w:val="23E74782"/>
    <w:rsid w:val="352D69EB"/>
    <w:rsid w:val="3C7A7777"/>
    <w:rsid w:val="5AD62BEE"/>
    <w:rsid w:val="694E30C6"/>
    <w:rsid w:val="73B2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qFormat="1"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360" w:lineRule="auto"/>
    </w:pPr>
    <w:rPr>
      <w:rFonts w:ascii="宋体" w:hAnsi="宋体" w:eastAsia="宋体" w:cstheme="minorBidi"/>
      <w:color w:val="000000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4F81BD"/>
      <w:sz w:val="40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/>
      <w:sz w:val="32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/>
      <w:sz w:val="28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/>
      <w:sz w:val="26"/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b/>
      <w:color w:val="4F81BD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b/>
      <w:i/>
      <w:iCs/>
      <w:color w:val="4F81BD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ind w:firstLine="48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页眉 字符"/>
    <w:basedOn w:val="132"/>
    <w:link w:val="25"/>
    <w:qFormat/>
    <w:uiPriority w:val="99"/>
  </w:style>
  <w:style w:type="character" w:customStyle="1" w:styleId="136">
    <w:name w:val="页脚 字符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标题 1 字符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4F81BD"/>
      <w:sz w:val="40"/>
      <w:szCs w:val="28"/>
    </w:rPr>
  </w:style>
  <w:style w:type="character" w:customStyle="1" w:styleId="139">
    <w:name w:val="标题 2 字符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/>
      <w:sz w:val="32"/>
      <w:szCs w:val="26"/>
    </w:rPr>
  </w:style>
  <w:style w:type="character" w:customStyle="1" w:styleId="140">
    <w:name w:val="标题 3 字符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/>
      <w:sz w:val="28"/>
    </w:rPr>
  </w:style>
  <w:style w:type="character" w:customStyle="1" w:styleId="141">
    <w:name w:val="标题 字符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副标题 字符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字符"/>
    <w:basedOn w:val="132"/>
    <w:link w:val="19"/>
    <w:qFormat/>
    <w:uiPriority w:val="99"/>
  </w:style>
  <w:style w:type="character" w:customStyle="1" w:styleId="145">
    <w:name w:val="正文文本 2 字符"/>
    <w:basedOn w:val="132"/>
    <w:link w:val="28"/>
    <w:qFormat/>
    <w:uiPriority w:val="99"/>
  </w:style>
  <w:style w:type="character" w:customStyle="1" w:styleId="146">
    <w:name w:val="正文文本 3 字符"/>
    <w:basedOn w:val="132"/>
    <w:link w:val="17"/>
    <w:uiPriority w:val="99"/>
    <w:rPr>
      <w:sz w:val="16"/>
      <w:szCs w:val="16"/>
    </w:rPr>
  </w:style>
  <w:style w:type="character" w:customStyle="1" w:styleId="147">
    <w:name w:val="宏文本 字符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引用 字符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标题 4 字符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/>
      <w:sz w:val="26"/>
    </w:rPr>
  </w:style>
  <w:style w:type="character" w:customStyle="1" w:styleId="151">
    <w:name w:val="标题 5 字符"/>
    <w:basedOn w:val="132"/>
    <w:link w:val="7"/>
    <w:semiHidden/>
    <w:uiPriority w:val="9"/>
    <w:rPr>
      <w:rFonts w:asciiTheme="majorHAnsi" w:hAnsiTheme="majorHAnsi" w:eastAsiaTheme="majorEastAsia" w:cstheme="majorBidi"/>
      <w:b/>
      <w:color w:val="4F81BD"/>
      <w:sz w:val="24"/>
    </w:rPr>
  </w:style>
  <w:style w:type="character" w:customStyle="1" w:styleId="152">
    <w:name w:val="标题 6 字符"/>
    <w:basedOn w:val="132"/>
    <w:link w:val="8"/>
    <w:semiHidden/>
    <w:qFormat/>
    <w:uiPriority w:val="9"/>
    <w:rPr>
      <w:rFonts w:asciiTheme="majorHAnsi" w:hAnsiTheme="majorHAnsi" w:eastAsiaTheme="majorEastAsia" w:cstheme="majorBidi"/>
      <w:b/>
      <w:i/>
      <w:iCs/>
      <w:color w:val="4F81BD"/>
      <w:sz w:val="24"/>
    </w:rPr>
  </w:style>
  <w:style w:type="character" w:customStyle="1" w:styleId="153">
    <w:name w:val="标题 7 字符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标题 8 字符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标题 9 字符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明显引用 字符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First Paragraph"/>
    <w:basedOn w:val="1"/>
    <w:qFormat/>
    <w:uiPriority w:val="0"/>
    <w:pPr>
      <w:ind w:firstLine="480"/>
    </w:pPr>
  </w:style>
  <w:style w:type="paragraph" w:customStyle="1" w:styleId="165">
    <w:name w:val="Source Code"/>
    <w:basedOn w:val="1"/>
    <w:uiPriority w:val="0"/>
    <w:pPr>
      <w:wordWrap w:val="0"/>
    </w:pPr>
  </w:style>
  <w:style w:type="character" w:customStyle="1" w:styleId="166">
    <w:name w:val="KeywordTok"/>
    <w:qFormat/>
    <w:uiPriority w:val="0"/>
    <w:rPr>
      <w:b/>
      <w:color w:val="007020"/>
    </w:rPr>
  </w:style>
  <w:style w:type="character" w:customStyle="1" w:styleId="167">
    <w:name w:val="DataTypeTok"/>
    <w:qFormat/>
    <w:uiPriority w:val="0"/>
    <w:rPr>
      <w:color w:val="902000"/>
    </w:rPr>
  </w:style>
  <w:style w:type="character" w:customStyle="1" w:styleId="168">
    <w:name w:val="DecValTok"/>
    <w:qFormat/>
    <w:uiPriority w:val="0"/>
    <w:rPr>
      <w:color w:val="40A070"/>
    </w:rPr>
  </w:style>
  <w:style w:type="character" w:customStyle="1" w:styleId="169">
    <w:name w:val="BaseNTok"/>
    <w:qFormat/>
    <w:uiPriority w:val="0"/>
    <w:rPr>
      <w:color w:val="40A070"/>
    </w:rPr>
  </w:style>
  <w:style w:type="character" w:customStyle="1" w:styleId="170">
    <w:name w:val="FloatTok"/>
    <w:qFormat/>
    <w:uiPriority w:val="0"/>
    <w:rPr>
      <w:color w:val="40A070"/>
    </w:rPr>
  </w:style>
  <w:style w:type="character" w:customStyle="1" w:styleId="171">
    <w:name w:val="ConstantTok"/>
    <w:uiPriority w:val="0"/>
    <w:rPr>
      <w:color w:val="880000"/>
    </w:rPr>
  </w:style>
  <w:style w:type="character" w:customStyle="1" w:styleId="172">
    <w:name w:val="CharTok"/>
    <w:qFormat/>
    <w:uiPriority w:val="0"/>
    <w:rPr>
      <w:color w:val="4070A0"/>
    </w:rPr>
  </w:style>
  <w:style w:type="character" w:customStyle="1" w:styleId="173">
    <w:name w:val="SpecialCharTok"/>
    <w:uiPriority w:val="0"/>
    <w:rPr>
      <w:color w:val="4070A0"/>
    </w:rPr>
  </w:style>
  <w:style w:type="character" w:customStyle="1" w:styleId="174">
    <w:name w:val="StringTok"/>
    <w:qFormat/>
    <w:uiPriority w:val="0"/>
    <w:rPr>
      <w:color w:val="4070A0"/>
    </w:rPr>
  </w:style>
  <w:style w:type="character" w:customStyle="1" w:styleId="175">
    <w:name w:val="VerbatimStringTok"/>
    <w:qFormat/>
    <w:uiPriority w:val="0"/>
    <w:rPr>
      <w:color w:val="4070A0"/>
    </w:rPr>
  </w:style>
  <w:style w:type="character" w:customStyle="1" w:styleId="176">
    <w:name w:val="SpecialStringTok"/>
    <w:uiPriority w:val="0"/>
    <w:rPr>
      <w:color w:val="BB6688"/>
    </w:rPr>
  </w:style>
  <w:style w:type="character" w:customStyle="1" w:styleId="177">
    <w:name w:val="ImportTok"/>
    <w:qFormat/>
    <w:uiPriority w:val="0"/>
    <w:rPr>
      <w:b/>
      <w:color w:val="008000"/>
    </w:rPr>
  </w:style>
  <w:style w:type="character" w:customStyle="1" w:styleId="178">
    <w:name w:val="CommentTok"/>
    <w:qFormat/>
    <w:uiPriority w:val="0"/>
    <w:rPr>
      <w:i/>
      <w:color w:val="60A0B0"/>
    </w:rPr>
  </w:style>
  <w:style w:type="character" w:customStyle="1" w:styleId="179">
    <w:name w:val="DocumentationTok"/>
    <w:qFormat/>
    <w:uiPriority w:val="0"/>
    <w:rPr>
      <w:i/>
      <w:color w:val="BA2121"/>
    </w:rPr>
  </w:style>
  <w:style w:type="character" w:customStyle="1" w:styleId="180">
    <w:name w:val="AnnotationTok"/>
    <w:qFormat/>
    <w:uiPriority w:val="0"/>
    <w:rPr>
      <w:b/>
      <w:i/>
      <w:color w:val="60A0B0"/>
    </w:rPr>
  </w:style>
  <w:style w:type="character" w:customStyle="1" w:styleId="181">
    <w:name w:val="CommentVarTok"/>
    <w:uiPriority w:val="0"/>
    <w:rPr>
      <w:b/>
      <w:i/>
      <w:color w:val="60A0B0"/>
    </w:rPr>
  </w:style>
  <w:style w:type="character" w:customStyle="1" w:styleId="182">
    <w:name w:val="OtherTok"/>
    <w:uiPriority w:val="0"/>
    <w:rPr>
      <w:color w:val="007020"/>
    </w:rPr>
  </w:style>
  <w:style w:type="character" w:customStyle="1" w:styleId="183">
    <w:name w:val="FunctionTok"/>
    <w:qFormat/>
    <w:uiPriority w:val="0"/>
    <w:rPr>
      <w:color w:val="06287E"/>
    </w:rPr>
  </w:style>
  <w:style w:type="character" w:customStyle="1" w:styleId="184">
    <w:name w:val="VariableTok"/>
    <w:qFormat/>
    <w:uiPriority w:val="0"/>
    <w:rPr>
      <w:color w:val="19177C"/>
    </w:rPr>
  </w:style>
  <w:style w:type="character" w:customStyle="1" w:styleId="185">
    <w:name w:val="ControlFlowTok"/>
    <w:qFormat/>
    <w:uiPriority w:val="0"/>
    <w:rPr>
      <w:b/>
      <w:color w:val="007020"/>
    </w:rPr>
  </w:style>
  <w:style w:type="character" w:customStyle="1" w:styleId="186">
    <w:name w:val="OperatorTok"/>
    <w:qFormat/>
    <w:uiPriority w:val="0"/>
    <w:rPr>
      <w:color w:val="666666"/>
    </w:rPr>
  </w:style>
  <w:style w:type="character" w:customStyle="1" w:styleId="187">
    <w:name w:val="BuiltInTok"/>
    <w:uiPriority w:val="0"/>
    <w:rPr>
      <w:color w:val="008000"/>
    </w:rPr>
  </w:style>
  <w:style w:type="character" w:customStyle="1" w:styleId="188">
    <w:name w:val="ExtensionTok"/>
    <w:qFormat/>
    <w:uiPriority w:val="0"/>
  </w:style>
  <w:style w:type="character" w:customStyle="1" w:styleId="189">
    <w:name w:val="PreprocessorTok"/>
    <w:uiPriority w:val="0"/>
    <w:rPr>
      <w:color w:val="BC7A00"/>
    </w:rPr>
  </w:style>
  <w:style w:type="character" w:customStyle="1" w:styleId="190">
    <w:name w:val="AttributeTok"/>
    <w:qFormat/>
    <w:uiPriority w:val="0"/>
    <w:rPr>
      <w:color w:val="7D9029"/>
    </w:rPr>
  </w:style>
  <w:style w:type="character" w:customStyle="1" w:styleId="191">
    <w:name w:val="RegionMarkerTok"/>
    <w:qFormat/>
    <w:uiPriority w:val="0"/>
  </w:style>
  <w:style w:type="character" w:customStyle="1" w:styleId="192">
    <w:name w:val="InformationTok"/>
    <w:uiPriority w:val="0"/>
    <w:rPr>
      <w:b/>
      <w:i/>
      <w:color w:val="60A0B0"/>
    </w:rPr>
  </w:style>
  <w:style w:type="character" w:customStyle="1" w:styleId="193">
    <w:name w:val="WarningTok"/>
    <w:qFormat/>
    <w:uiPriority w:val="0"/>
    <w:rPr>
      <w:b/>
      <w:i/>
      <w:color w:val="60A0B0"/>
    </w:rPr>
  </w:style>
  <w:style w:type="character" w:customStyle="1" w:styleId="194">
    <w:name w:val="AlertTok"/>
    <w:qFormat/>
    <w:uiPriority w:val="0"/>
    <w:rPr>
      <w:b/>
      <w:color w:val="FF0000"/>
    </w:rPr>
  </w:style>
  <w:style w:type="character" w:customStyle="1" w:styleId="195">
    <w:name w:val="ErrorTok"/>
    <w:qFormat/>
    <w:uiPriority w:val="0"/>
    <w:rPr>
      <w:b/>
      <w:color w:val="FF0000"/>
    </w:rPr>
  </w:style>
  <w:style w:type="character" w:customStyle="1" w:styleId="196">
    <w:name w:val="NormalTok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590</Words>
  <Characters>3366</Characters>
  <Lines>28</Lines>
  <Paragraphs>7</Paragraphs>
  <TotalTime>9</TotalTime>
  <ScaleCrop>false</ScaleCrop>
  <LinksUpToDate>false</LinksUpToDate>
  <CharactersWithSpaces>3949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2026-07-24T04:26:00Z</dcterms:created>
  <dc:creator>ASUS</dc:creator>
  <cp:lastModifiedBy>admin</cp:lastModifiedBy>
  <dcterms:modified xsi:type="dcterms:W3CDTF">2026-08-25T08:30:30Z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8BE83B365FB243FDBF397B7138CCF41C_12</vt:lpwstr>
  </property>
</Properties>
</file>