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F5706">
      <w:pPr>
        <w:spacing w:line="400" w:lineRule="exact"/>
        <w:jc w:val="center"/>
        <w:rPr>
          <w:rFonts w:ascii="宋体" w:hAnsi="宋体" w:eastAsia="宋体"/>
          <w:sz w:val="44"/>
          <w:szCs w:val="44"/>
        </w:rPr>
      </w:pPr>
    </w:p>
    <w:p w14:paraId="10BB2ADB">
      <w:pPr>
        <w:spacing w:line="400" w:lineRule="exact"/>
        <w:jc w:val="center"/>
        <w:rPr>
          <w:rFonts w:ascii="宋体" w:hAnsi="宋体" w:eastAsia="宋体"/>
          <w:sz w:val="44"/>
          <w:szCs w:val="44"/>
        </w:rPr>
      </w:pPr>
    </w:p>
    <w:p w14:paraId="57CCDE1C">
      <w:pPr>
        <w:spacing w:line="400" w:lineRule="exact"/>
        <w:jc w:val="center"/>
        <w:rPr>
          <w:rFonts w:ascii="宋体" w:hAnsi="宋体" w:eastAsia="宋体"/>
          <w:sz w:val="44"/>
          <w:szCs w:val="44"/>
        </w:rPr>
      </w:pPr>
    </w:p>
    <w:p w14:paraId="4F0C4CD1">
      <w:pPr>
        <w:spacing w:line="400" w:lineRule="exact"/>
        <w:jc w:val="center"/>
        <w:rPr>
          <w:rFonts w:ascii="宋体" w:hAnsi="宋体" w:eastAsia="宋体"/>
          <w:sz w:val="44"/>
          <w:szCs w:val="44"/>
        </w:rPr>
      </w:pPr>
    </w:p>
    <w:p w14:paraId="26785495">
      <w:pPr>
        <w:spacing w:line="600" w:lineRule="exact"/>
        <w:jc w:val="center"/>
        <w:rPr>
          <w:rFonts w:ascii="宋体" w:hAnsi="宋体" w:eastAsia="宋体"/>
          <w:sz w:val="44"/>
          <w:szCs w:val="44"/>
        </w:rPr>
      </w:pPr>
    </w:p>
    <w:p w14:paraId="081EB915">
      <w:pPr>
        <w:spacing w:line="600" w:lineRule="exact"/>
        <w:jc w:val="center"/>
        <w:rPr>
          <w:rFonts w:hint="eastAsia" w:ascii="黑体" w:hAnsi="黑体" w:eastAsia="黑体" w:cs="黑体"/>
          <w:sz w:val="44"/>
          <w:szCs w:val="44"/>
        </w:rPr>
      </w:pPr>
    </w:p>
    <w:p w14:paraId="5AF7B86F">
      <w:pPr>
        <w:spacing w:line="600" w:lineRule="exact"/>
        <w:jc w:val="center"/>
        <w:rPr>
          <w:rFonts w:hint="eastAsia" w:ascii="黑体" w:hAnsi="黑体" w:eastAsia="黑体" w:cs="黑体"/>
          <w:sz w:val="44"/>
          <w:szCs w:val="44"/>
        </w:rPr>
      </w:pPr>
    </w:p>
    <w:p w14:paraId="603B9C90">
      <w:pPr>
        <w:spacing w:line="600" w:lineRule="exact"/>
        <w:jc w:val="center"/>
        <w:rPr>
          <w:rFonts w:hint="eastAsia" w:ascii="黑体" w:hAnsi="黑体" w:eastAsia="黑体" w:cs="黑体"/>
          <w:sz w:val="44"/>
          <w:szCs w:val="44"/>
        </w:rPr>
      </w:pPr>
    </w:p>
    <w:p w14:paraId="756A3D68">
      <w:pPr>
        <w:spacing w:line="600" w:lineRule="exact"/>
        <w:jc w:val="center"/>
        <w:rPr>
          <w:rFonts w:hint="eastAsia" w:ascii="黑体" w:hAnsi="黑体" w:eastAsia="黑体" w:cs="黑体"/>
          <w:sz w:val="44"/>
          <w:szCs w:val="44"/>
        </w:rPr>
      </w:pPr>
      <w:r>
        <w:rPr>
          <w:rFonts w:hint="eastAsia" w:ascii="黑体" w:hAnsi="黑体" w:eastAsia="黑体" w:cs="黑体"/>
          <w:sz w:val="44"/>
          <w:szCs w:val="44"/>
        </w:rPr>
        <w:t>皮山县农业、畜牧业“十五五”发展规划</w:t>
      </w:r>
    </w:p>
    <w:p w14:paraId="1D672834">
      <w:pPr>
        <w:spacing w:line="400" w:lineRule="exact"/>
        <w:jc w:val="center"/>
        <w:rPr>
          <w:rFonts w:eastAsia="方正小标宋简体"/>
          <w:sz w:val="44"/>
          <w:szCs w:val="44"/>
        </w:rPr>
      </w:pPr>
    </w:p>
    <w:p w14:paraId="3E21C518">
      <w:pPr>
        <w:spacing w:line="400" w:lineRule="exact"/>
        <w:jc w:val="center"/>
        <w:rPr>
          <w:rFonts w:eastAsia="方正小标宋简体"/>
          <w:sz w:val="44"/>
          <w:szCs w:val="44"/>
        </w:rPr>
      </w:pPr>
    </w:p>
    <w:p w14:paraId="11D1E2DB">
      <w:pPr>
        <w:spacing w:line="400" w:lineRule="exact"/>
        <w:jc w:val="center"/>
        <w:rPr>
          <w:rFonts w:eastAsia="方正小标宋简体"/>
          <w:sz w:val="44"/>
          <w:szCs w:val="44"/>
        </w:rPr>
      </w:pPr>
    </w:p>
    <w:p w14:paraId="22972821">
      <w:pPr>
        <w:spacing w:line="400" w:lineRule="exact"/>
        <w:jc w:val="center"/>
        <w:rPr>
          <w:rFonts w:eastAsia="方正小标宋简体"/>
          <w:sz w:val="44"/>
          <w:szCs w:val="44"/>
        </w:rPr>
      </w:pPr>
    </w:p>
    <w:p w14:paraId="430150B3">
      <w:pPr>
        <w:spacing w:line="400" w:lineRule="exact"/>
        <w:jc w:val="center"/>
        <w:rPr>
          <w:rFonts w:eastAsia="方正小标宋简体"/>
          <w:sz w:val="44"/>
          <w:szCs w:val="44"/>
        </w:rPr>
      </w:pPr>
    </w:p>
    <w:p w14:paraId="513BE9DF">
      <w:pPr>
        <w:spacing w:line="400" w:lineRule="exact"/>
        <w:jc w:val="center"/>
        <w:rPr>
          <w:rFonts w:eastAsia="方正小标宋简体"/>
          <w:sz w:val="44"/>
          <w:szCs w:val="44"/>
        </w:rPr>
      </w:pPr>
    </w:p>
    <w:p w14:paraId="323AC36F">
      <w:pPr>
        <w:spacing w:line="400" w:lineRule="exact"/>
        <w:jc w:val="center"/>
        <w:rPr>
          <w:rFonts w:eastAsia="方正小标宋简体"/>
          <w:sz w:val="44"/>
          <w:szCs w:val="44"/>
        </w:rPr>
      </w:pPr>
    </w:p>
    <w:p w14:paraId="35103F70">
      <w:pPr>
        <w:spacing w:line="400" w:lineRule="exact"/>
        <w:jc w:val="center"/>
        <w:rPr>
          <w:rFonts w:eastAsia="方正小标宋简体"/>
          <w:sz w:val="44"/>
          <w:szCs w:val="44"/>
        </w:rPr>
      </w:pPr>
    </w:p>
    <w:p w14:paraId="4AE52626">
      <w:pPr>
        <w:spacing w:line="400" w:lineRule="exact"/>
        <w:jc w:val="center"/>
        <w:rPr>
          <w:rFonts w:eastAsia="方正小标宋简体"/>
          <w:sz w:val="44"/>
          <w:szCs w:val="44"/>
        </w:rPr>
      </w:pPr>
    </w:p>
    <w:p w14:paraId="2B377F95">
      <w:pPr>
        <w:spacing w:line="400" w:lineRule="exact"/>
        <w:jc w:val="center"/>
        <w:rPr>
          <w:rFonts w:eastAsia="方正小标宋简体"/>
          <w:sz w:val="44"/>
          <w:szCs w:val="44"/>
        </w:rPr>
      </w:pPr>
    </w:p>
    <w:p w14:paraId="71DFDFF4">
      <w:pPr>
        <w:spacing w:line="400" w:lineRule="exact"/>
        <w:jc w:val="center"/>
        <w:rPr>
          <w:rFonts w:eastAsia="方正小标宋简体"/>
          <w:sz w:val="44"/>
          <w:szCs w:val="44"/>
        </w:rPr>
      </w:pPr>
    </w:p>
    <w:p w14:paraId="56656420">
      <w:pPr>
        <w:spacing w:line="400" w:lineRule="exact"/>
        <w:jc w:val="center"/>
        <w:rPr>
          <w:rFonts w:eastAsia="方正小标宋简体"/>
          <w:sz w:val="44"/>
          <w:szCs w:val="44"/>
        </w:rPr>
      </w:pPr>
    </w:p>
    <w:p w14:paraId="53E88CD1">
      <w:pPr>
        <w:spacing w:line="400" w:lineRule="exact"/>
        <w:jc w:val="center"/>
        <w:rPr>
          <w:rFonts w:eastAsia="方正小标宋简体"/>
          <w:sz w:val="44"/>
          <w:szCs w:val="44"/>
        </w:rPr>
      </w:pPr>
    </w:p>
    <w:p w14:paraId="47763F6F">
      <w:pPr>
        <w:spacing w:line="400" w:lineRule="exact"/>
        <w:jc w:val="both"/>
        <w:rPr>
          <w:rFonts w:eastAsia="方正小标宋简体"/>
          <w:sz w:val="44"/>
          <w:szCs w:val="44"/>
        </w:rPr>
      </w:pPr>
    </w:p>
    <w:p w14:paraId="6E494884">
      <w:pPr>
        <w:spacing w:line="400" w:lineRule="exact"/>
        <w:jc w:val="both"/>
        <w:rPr>
          <w:rFonts w:eastAsia="方正小标宋简体"/>
          <w:sz w:val="44"/>
          <w:szCs w:val="44"/>
        </w:rPr>
      </w:pPr>
    </w:p>
    <w:p w14:paraId="496C3BA4">
      <w:pPr>
        <w:spacing w:line="400" w:lineRule="exact"/>
        <w:jc w:val="center"/>
        <w:rPr>
          <w:rFonts w:eastAsia="方正小标宋简体"/>
          <w:sz w:val="44"/>
          <w:szCs w:val="44"/>
        </w:rPr>
      </w:pPr>
    </w:p>
    <w:p w14:paraId="4362F2A0">
      <w:pPr>
        <w:spacing w:line="400" w:lineRule="exact"/>
        <w:jc w:val="center"/>
        <w:rPr>
          <w:rFonts w:eastAsia="方正小标宋简体"/>
          <w:sz w:val="44"/>
          <w:szCs w:val="44"/>
        </w:rPr>
      </w:pPr>
    </w:p>
    <w:p w14:paraId="5AF9C19E">
      <w:pPr>
        <w:spacing w:line="400" w:lineRule="exact"/>
        <w:jc w:val="center"/>
        <w:rPr>
          <w:rFonts w:hint="eastAsia" w:ascii="楷体" w:hAnsi="楷体" w:eastAsia="楷体" w:cs="楷体"/>
          <w:b/>
          <w:bCs w:val="0"/>
          <w:szCs w:val="44"/>
        </w:rPr>
      </w:pPr>
    </w:p>
    <w:p w14:paraId="687F92EE">
      <w:pPr>
        <w:spacing w:line="400" w:lineRule="exact"/>
        <w:jc w:val="center"/>
        <w:rPr>
          <w:rFonts w:hint="eastAsia" w:ascii="楷体" w:hAnsi="楷体" w:eastAsia="楷体" w:cs="楷体"/>
          <w:b/>
          <w:bCs w:val="0"/>
          <w:sz w:val="36"/>
          <w:szCs w:val="44"/>
        </w:rPr>
      </w:pPr>
      <w:r>
        <w:rPr>
          <w:rFonts w:hint="eastAsia" w:ascii="楷体" w:hAnsi="楷体" w:eastAsia="楷体" w:cs="楷体"/>
          <w:b/>
          <w:bCs w:val="0"/>
          <w:sz w:val="36"/>
          <w:szCs w:val="44"/>
        </w:rPr>
        <w:t>皮山县农业农村局</w:t>
      </w:r>
    </w:p>
    <w:p w14:paraId="26893C40">
      <w:pPr>
        <w:spacing w:line="400" w:lineRule="exact"/>
        <w:jc w:val="center"/>
        <w:rPr>
          <w:rFonts w:hint="eastAsia" w:ascii="楷体" w:hAnsi="楷体" w:eastAsia="楷体" w:cs="楷体"/>
          <w:b/>
          <w:bCs w:val="0"/>
          <w:szCs w:val="44"/>
        </w:rPr>
      </w:pPr>
      <w:r>
        <w:rPr>
          <w:rFonts w:hint="eastAsia" w:ascii="楷体" w:hAnsi="楷体" w:eastAsia="楷体" w:cs="楷体"/>
          <w:b/>
          <w:bCs w:val="0"/>
          <w:szCs w:val="44"/>
        </w:rPr>
        <w:t>二〇二六年</w:t>
      </w:r>
      <w:r>
        <w:rPr>
          <w:rFonts w:hint="eastAsia" w:ascii="楷体" w:hAnsi="楷体" w:eastAsia="楷体" w:cs="楷体"/>
          <w:b/>
          <w:bCs w:val="0"/>
          <w:szCs w:val="44"/>
          <w:lang w:val="en-US" w:eastAsia="zh-CN"/>
        </w:rPr>
        <w:t>六</w:t>
      </w:r>
      <w:r>
        <w:rPr>
          <w:rFonts w:hint="eastAsia" w:ascii="楷体" w:hAnsi="楷体" w:eastAsia="楷体" w:cs="楷体"/>
          <w:b/>
          <w:bCs w:val="0"/>
          <w:szCs w:val="44"/>
        </w:rPr>
        <w:t>月</w:t>
      </w:r>
    </w:p>
    <w:p w14:paraId="22D6742F">
      <w:pPr>
        <w:spacing w:line="400" w:lineRule="exact"/>
        <w:jc w:val="center"/>
        <w:rPr>
          <w:rFonts w:eastAsia="方正小标宋简体"/>
          <w:sz w:val="44"/>
          <w:szCs w:val="44"/>
        </w:rPr>
      </w:pPr>
    </w:p>
    <w:p w14:paraId="59E9DB47">
      <w:pPr>
        <w:spacing w:line="520" w:lineRule="exact"/>
        <w:jc w:val="center"/>
        <w:rPr>
          <w:rFonts w:eastAsia="方正小标宋简体"/>
          <w:sz w:val="44"/>
          <w:szCs w:val="44"/>
        </w:rPr>
        <w:sectPr>
          <w:footerReference r:id="rId3" w:type="default"/>
          <w:footerReference r:id="rId4" w:type="even"/>
          <w:pgSz w:w="11906" w:h="16838"/>
          <w:pgMar w:top="1985" w:right="1588" w:bottom="1588" w:left="1588" w:header="851" w:footer="1361" w:gutter="0"/>
          <w:cols w:space="720" w:num="1"/>
          <w:docGrid w:type="lines" w:linePitch="312" w:charSpace="0"/>
        </w:sectPr>
      </w:pPr>
    </w:p>
    <w:p w14:paraId="3E9D2081">
      <w:pPr>
        <w:spacing w:line="520" w:lineRule="exact"/>
        <w:jc w:val="center"/>
        <w:rPr>
          <w:rFonts w:ascii="宋体" w:hAnsi="宋体" w:eastAsia="宋体"/>
          <w:b/>
          <w:sz w:val="36"/>
          <w:szCs w:val="36"/>
        </w:rPr>
      </w:pPr>
      <w:r>
        <w:rPr>
          <w:rFonts w:hint="eastAsia" w:ascii="宋体" w:hAnsi="宋体" w:eastAsia="宋体"/>
          <w:b/>
          <w:sz w:val="36"/>
          <w:szCs w:val="36"/>
        </w:rPr>
        <w:t>目  录</w:t>
      </w:r>
    </w:p>
    <w:p w14:paraId="0AA957BA">
      <w:pPr>
        <w:pStyle w:val="17"/>
        <w:tabs>
          <w:tab w:val="right" w:leader="dot" w:pos="8720"/>
        </w:tabs>
        <w:rPr>
          <w:rFonts w:asciiTheme="minorHAnsi" w:hAnsiTheme="minorHAnsi" w:eastAsiaTheme="minorEastAsia" w:cstheme="minorBidi"/>
          <w:sz w:val="21"/>
          <w:szCs w:val="22"/>
        </w:rPr>
      </w:pPr>
      <w:r>
        <w:rPr>
          <w:rFonts w:ascii="宋体" w:hAnsi="宋体" w:eastAsia="宋体"/>
          <w:sz w:val="24"/>
          <w:szCs w:val="24"/>
        </w:rPr>
        <w:fldChar w:fldCharType="begin"/>
      </w:r>
      <w:r>
        <w:rPr>
          <w:rFonts w:ascii="宋体" w:hAnsi="宋体" w:eastAsia="宋体"/>
          <w:sz w:val="24"/>
          <w:szCs w:val="24"/>
        </w:rPr>
        <w:instrText xml:space="preserve"> TOC \o "1-3" \h \z \u </w:instrText>
      </w:r>
      <w:r>
        <w:rPr>
          <w:rFonts w:ascii="宋体" w:hAnsi="宋体" w:eastAsia="宋体"/>
          <w:sz w:val="24"/>
          <w:szCs w:val="24"/>
        </w:rPr>
        <w:fldChar w:fldCharType="separate"/>
      </w:r>
      <w:r>
        <w:fldChar w:fldCharType="begin"/>
      </w:r>
      <w:r>
        <w:instrText xml:space="preserve"> HYPERLINK \l "_Toc237987564" </w:instrText>
      </w:r>
      <w:r>
        <w:fldChar w:fldCharType="separate"/>
      </w:r>
      <w:r>
        <w:rPr>
          <w:rStyle w:val="31"/>
          <w:rFonts w:hint="eastAsia" w:eastAsia="宋体"/>
          <w:b/>
        </w:rPr>
        <w:t>第一章</w:t>
      </w:r>
      <w:r>
        <w:rPr>
          <w:rStyle w:val="31"/>
          <w:rFonts w:eastAsia="宋体"/>
          <w:b/>
        </w:rPr>
        <w:t xml:space="preserve"> </w:t>
      </w:r>
      <w:r>
        <w:rPr>
          <w:rStyle w:val="31"/>
          <w:rFonts w:hint="eastAsia" w:eastAsia="宋体"/>
          <w:b/>
        </w:rPr>
        <w:t>“十四五”农业农村发展主要成就</w:t>
      </w:r>
      <w:r>
        <w:tab/>
      </w:r>
      <w:r>
        <w:fldChar w:fldCharType="begin"/>
      </w:r>
      <w:r>
        <w:instrText xml:space="preserve"> PAGEREF _Toc237987564 \h </w:instrText>
      </w:r>
      <w:r>
        <w:fldChar w:fldCharType="separate"/>
      </w:r>
      <w:r>
        <w:t>1</w:t>
      </w:r>
      <w:r>
        <w:fldChar w:fldCharType="end"/>
      </w:r>
      <w:r>
        <w:fldChar w:fldCharType="end"/>
      </w:r>
    </w:p>
    <w:p w14:paraId="16E8B72E">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"_Toc237987565" </w:instrText>
      </w:r>
      <w:r>
        <w:fldChar w:fldCharType="separate"/>
      </w:r>
      <w:r>
        <w:rPr>
          <w:rStyle w:val="31"/>
          <w:rFonts w:hint="eastAsia" w:ascii="Arial" w:hAnsi="Arial" w:eastAsia="黑体"/>
          <w:kern w:val="0"/>
        </w:rPr>
        <w:t>一、皮山县基本情况</w:t>
      </w:r>
      <w:r>
        <w:tab/>
      </w:r>
      <w:r>
        <w:fldChar w:fldCharType="begin"/>
      </w:r>
      <w:r>
        <w:instrText xml:space="preserve"> PAGEREF _Toc237987565 \h </w:instrText>
      </w:r>
      <w:r>
        <w:fldChar w:fldCharType="separate"/>
      </w:r>
      <w:r>
        <w:t>1</w:t>
      </w:r>
      <w:r>
        <w:fldChar w:fldCharType="end"/>
      </w:r>
      <w:r>
        <w:fldChar w:fldCharType="end"/>
      </w:r>
    </w:p>
    <w:p w14:paraId="1A0F03B9">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"_Toc237987566" </w:instrText>
      </w:r>
      <w:r>
        <w:fldChar w:fldCharType="separate"/>
      </w:r>
      <w:r>
        <w:rPr>
          <w:rStyle w:val="31"/>
          <w:rFonts w:hint="eastAsia" w:ascii="Arial" w:hAnsi="Arial" w:eastAsia="黑体"/>
          <w:kern w:val="0"/>
        </w:rPr>
        <w:t>二、</w:t>
      </w:r>
      <w:r>
        <w:rPr>
          <w:rStyle w:val="31"/>
          <w:rFonts w:ascii="Arial" w:hAnsi="Arial" w:eastAsia="黑体"/>
          <w:kern w:val="0"/>
        </w:rPr>
        <w:t>“</w:t>
      </w:r>
      <w:r>
        <w:rPr>
          <w:rStyle w:val="31"/>
          <w:rFonts w:hint="eastAsia" w:ascii="Arial" w:hAnsi="Arial" w:eastAsia="黑体"/>
          <w:kern w:val="0"/>
        </w:rPr>
        <w:t>十四五</w:t>
      </w:r>
      <w:r>
        <w:rPr>
          <w:rStyle w:val="31"/>
          <w:rFonts w:ascii="Arial" w:hAnsi="Arial" w:eastAsia="黑体"/>
          <w:kern w:val="0"/>
        </w:rPr>
        <w:t>”</w:t>
      </w:r>
      <w:r>
        <w:rPr>
          <w:rStyle w:val="31"/>
          <w:rFonts w:hint="eastAsia" w:ascii="Arial" w:hAnsi="Arial" w:eastAsia="黑体"/>
          <w:kern w:val="0"/>
        </w:rPr>
        <w:t>时期取得的成就</w:t>
      </w:r>
      <w:r>
        <w:tab/>
      </w:r>
      <w:r>
        <w:fldChar w:fldCharType="begin"/>
      </w:r>
      <w:r>
        <w:instrText xml:space="preserve"> PAGEREF _Toc237987566 \h </w:instrText>
      </w:r>
      <w:r>
        <w:fldChar w:fldCharType="separate"/>
      </w:r>
      <w:r>
        <w:t>1</w:t>
      </w:r>
      <w:r>
        <w:fldChar w:fldCharType="end"/>
      </w:r>
      <w:r>
        <w:fldChar w:fldCharType="end"/>
      </w:r>
    </w:p>
    <w:p w14:paraId="14FA00CF">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"_Toc237987567" </w:instrText>
      </w:r>
      <w:r>
        <w:fldChar w:fldCharType="separate"/>
      </w:r>
      <w:r>
        <w:rPr>
          <w:rStyle w:val="31"/>
          <w:rFonts w:hint="eastAsia"/>
        </w:rPr>
        <w:t>（一）保障粮食安全</w:t>
      </w:r>
      <w:r>
        <w:tab/>
      </w:r>
      <w:r>
        <w:fldChar w:fldCharType="begin"/>
      </w:r>
      <w:r>
        <w:instrText xml:space="preserve"> PAGEREF _Toc237987567 \h </w:instrText>
      </w:r>
      <w:r>
        <w:fldChar w:fldCharType="separate"/>
      </w:r>
      <w:r>
        <w:t>1</w:t>
      </w:r>
      <w:r>
        <w:fldChar w:fldCharType="end"/>
      </w:r>
      <w:r>
        <w:fldChar w:fldCharType="end"/>
      </w:r>
    </w:p>
    <w:p w14:paraId="24411B7E">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"_Toc237987568" </w:instrText>
      </w:r>
      <w:r>
        <w:fldChar w:fldCharType="separate"/>
      </w:r>
      <w:r>
        <w:rPr>
          <w:rStyle w:val="31"/>
          <w:rFonts w:hint="eastAsia"/>
        </w:rPr>
        <w:t>（二）特色种植业跨越式发展</w:t>
      </w:r>
      <w:r>
        <w:tab/>
      </w:r>
      <w:r>
        <w:fldChar w:fldCharType="begin"/>
      </w:r>
      <w:r>
        <w:instrText xml:space="preserve"> PAGEREF _Toc237987568 \h </w:instrText>
      </w:r>
      <w:r>
        <w:fldChar w:fldCharType="separate"/>
      </w:r>
      <w:r>
        <w:t>5</w:t>
      </w:r>
      <w:r>
        <w:fldChar w:fldCharType="end"/>
      </w:r>
      <w:r>
        <w:fldChar w:fldCharType="end"/>
      </w:r>
    </w:p>
    <w:p w14:paraId="7680104F">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"_Toc237987569" </w:instrText>
      </w:r>
      <w:r>
        <w:fldChar w:fldCharType="separate"/>
      </w:r>
      <w:r>
        <w:rPr>
          <w:rStyle w:val="31"/>
          <w:rFonts w:hint="eastAsia"/>
        </w:rPr>
        <w:t>（三）畜牧业转型升级</w:t>
      </w:r>
      <w:r>
        <w:tab/>
      </w:r>
      <w:r>
        <w:fldChar w:fldCharType="begin"/>
      </w:r>
      <w:r>
        <w:instrText xml:space="preserve"> PAGEREF _Toc237987569 \h </w:instrText>
      </w:r>
      <w:r>
        <w:fldChar w:fldCharType="separate"/>
      </w:r>
      <w:r>
        <w:t>6</w:t>
      </w:r>
      <w:r>
        <w:fldChar w:fldCharType="end"/>
      </w:r>
      <w:r>
        <w:fldChar w:fldCharType="end"/>
      </w:r>
    </w:p>
    <w:p w14:paraId="62E1E435">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"_Toc237987570" </w:instrText>
      </w:r>
      <w:r>
        <w:fldChar w:fldCharType="separate"/>
      </w:r>
      <w:r>
        <w:rPr>
          <w:rStyle w:val="31"/>
          <w:rFonts w:hint="eastAsia"/>
        </w:rPr>
        <w:t>（四）产业融合与创新模式</w:t>
      </w:r>
      <w:r>
        <w:tab/>
      </w:r>
      <w:r>
        <w:fldChar w:fldCharType="begin"/>
      </w:r>
      <w:r>
        <w:instrText xml:space="preserve"> PAGEREF _Toc237987570 \h </w:instrText>
      </w:r>
      <w:r>
        <w:fldChar w:fldCharType="separate"/>
      </w:r>
      <w:r>
        <w:t>9</w:t>
      </w:r>
      <w:r>
        <w:fldChar w:fldCharType="end"/>
      </w:r>
      <w:r>
        <w:fldChar w:fldCharType="end"/>
      </w:r>
    </w:p>
    <w:p w14:paraId="216A9597">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"_Toc237987571" </w:instrText>
      </w:r>
      <w:r>
        <w:fldChar w:fldCharType="separate"/>
      </w:r>
      <w:r>
        <w:rPr>
          <w:rStyle w:val="31"/>
          <w:rFonts w:hint="eastAsia"/>
        </w:rPr>
        <w:t>（五）科技与生态协同发展</w:t>
      </w:r>
      <w:r>
        <w:tab/>
      </w:r>
      <w:r>
        <w:fldChar w:fldCharType="begin"/>
      </w:r>
      <w:r>
        <w:instrText xml:space="preserve"> PAGEREF _Toc237987571 \h </w:instrText>
      </w:r>
      <w:r>
        <w:fldChar w:fldCharType="separate"/>
      </w:r>
      <w:r>
        <w:t>10</w:t>
      </w:r>
      <w:r>
        <w:fldChar w:fldCharType="end"/>
      </w:r>
      <w:r>
        <w:fldChar w:fldCharType="end"/>
      </w:r>
    </w:p>
    <w:p w14:paraId="1791023D">
      <w:pPr>
        <w:pStyle w:val="17"/>
        <w:tabs>
          <w:tab w:val="right" w:leader="dot" w:pos="8720"/>
        </w:tabs>
        <w:rPr>
          <w:rFonts w:asciiTheme="minorHAnsi" w:hAnsiTheme="minorHAnsi" w:eastAsiaTheme="minorEastAsia" w:cstheme="minorBidi"/>
          <w:sz w:val="21"/>
          <w:szCs w:val="22"/>
        </w:rPr>
      </w:pPr>
      <w:r>
        <w:fldChar w:fldCharType="begin"/>
      </w:r>
      <w:r>
        <w:instrText xml:space="preserve"> HYPERLINK \l "_Toc237987572" </w:instrText>
      </w:r>
      <w:r>
        <w:fldChar w:fldCharType="separate"/>
      </w:r>
      <w:r>
        <w:rPr>
          <w:rStyle w:val="31"/>
          <w:rFonts w:hint="eastAsia" w:eastAsia="宋体"/>
          <w:b/>
        </w:rPr>
        <w:t>第二章</w:t>
      </w:r>
      <w:r>
        <w:rPr>
          <w:rStyle w:val="31"/>
          <w:rFonts w:eastAsia="宋体"/>
          <w:b/>
        </w:rPr>
        <w:t xml:space="preserve"> </w:t>
      </w:r>
      <w:r>
        <w:rPr>
          <w:rStyle w:val="31"/>
          <w:rFonts w:hint="eastAsia" w:eastAsia="宋体"/>
          <w:b/>
        </w:rPr>
        <w:t>“十五五”农业农村发展面临的形势</w:t>
      </w:r>
      <w:r>
        <w:tab/>
      </w:r>
      <w:r>
        <w:fldChar w:fldCharType="begin"/>
      </w:r>
      <w:r>
        <w:instrText xml:space="preserve"> PAGEREF _Toc237987572 \h </w:instrText>
      </w:r>
      <w:r>
        <w:fldChar w:fldCharType="separate"/>
      </w:r>
      <w:r>
        <w:t>12</w:t>
      </w:r>
      <w:r>
        <w:fldChar w:fldCharType="end"/>
      </w:r>
      <w:r>
        <w:fldChar w:fldCharType="end"/>
      </w:r>
    </w:p>
    <w:p w14:paraId="237C2784">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"_Toc237987573" </w:instrText>
      </w:r>
      <w:r>
        <w:fldChar w:fldCharType="separate"/>
      </w:r>
      <w:r>
        <w:rPr>
          <w:rStyle w:val="31"/>
          <w:rFonts w:hint="eastAsia" w:ascii="Arial" w:hAnsi="Arial" w:eastAsia="黑体"/>
          <w:kern w:val="0"/>
        </w:rPr>
        <w:t>一、新时期发展机遇</w:t>
      </w:r>
      <w:r>
        <w:tab/>
      </w:r>
      <w:r>
        <w:fldChar w:fldCharType="begin"/>
      </w:r>
      <w:r>
        <w:instrText xml:space="preserve"> PAGEREF _Toc237987573 \h </w:instrText>
      </w:r>
      <w:r>
        <w:fldChar w:fldCharType="separate"/>
      </w:r>
      <w:r>
        <w:t>12</w:t>
      </w:r>
      <w:r>
        <w:fldChar w:fldCharType="end"/>
      </w:r>
      <w:r>
        <w:fldChar w:fldCharType="end"/>
      </w:r>
    </w:p>
    <w:p w14:paraId="784E0147">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"_Toc237987574" </w:instrText>
      </w:r>
      <w:r>
        <w:fldChar w:fldCharType="separate"/>
      </w:r>
      <w:r>
        <w:rPr>
          <w:rStyle w:val="31"/>
          <w:rFonts w:hint="eastAsia"/>
        </w:rPr>
        <w:t>（一）政策扶持力度大</w:t>
      </w:r>
      <w:r>
        <w:tab/>
      </w:r>
      <w:r>
        <w:fldChar w:fldCharType="begin"/>
      </w:r>
      <w:r>
        <w:instrText xml:space="preserve"> PAGEREF _Toc237987574 \h </w:instrText>
      </w:r>
      <w:r>
        <w:fldChar w:fldCharType="separate"/>
      </w:r>
      <w:r>
        <w:t>12</w:t>
      </w:r>
      <w:r>
        <w:fldChar w:fldCharType="end"/>
      </w:r>
      <w:r>
        <w:fldChar w:fldCharType="end"/>
      </w:r>
    </w:p>
    <w:p w14:paraId="0EC9212F">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"_Toc237987575" </w:instrText>
      </w:r>
      <w:r>
        <w:fldChar w:fldCharType="separate"/>
      </w:r>
      <w:r>
        <w:rPr>
          <w:rStyle w:val="31"/>
          <w:rFonts w:hint="eastAsia"/>
        </w:rPr>
        <w:t>（二）特色品种优势凸显</w:t>
      </w:r>
      <w:r>
        <w:tab/>
      </w:r>
      <w:r>
        <w:fldChar w:fldCharType="begin"/>
      </w:r>
      <w:r>
        <w:instrText xml:space="preserve"> PAGEREF _Toc237987575 \h </w:instrText>
      </w:r>
      <w:r>
        <w:fldChar w:fldCharType="separate"/>
      </w:r>
      <w:r>
        <w:t>12</w:t>
      </w:r>
      <w:r>
        <w:fldChar w:fldCharType="end"/>
      </w:r>
      <w:r>
        <w:fldChar w:fldCharType="end"/>
      </w:r>
    </w:p>
    <w:p w14:paraId="1B52E5EF">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"_Toc237987576" </w:instrText>
      </w:r>
      <w:r>
        <w:fldChar w:fldCharType="separate"/>
      </w:r>
      <w:r>
        <w:rPr>
          <w:rStyle w:val="31"/>
          <w:rFonts w:hint="eastAsia"/>
        </w:rPr>
        <w:t>（三）市场需求潜力大</w:t>
      </w:r>
      <w:r>
        <w:tab/>
      </w:r>
      <w:r>
        <w:fldChar w:fldCharType="begin"/>
      </w:r>
      <w:r>
        <w:instrText xml:space="preserve"> PAGEREF _Toc237987576 \h </w:instrText>
      </w:r>
      <w:r>
        <w:fldChar w:fldCharType="separate"/>
      </w:r>
      <w:r>
        <w:t>12</w:t>
      </w:r>
      <w:r>
        <w:fldChar w:fldCharType="end"/>
      </w:r>
      <w:r>
        <w:fldChar w:fldCharType="end"/>
      </w:r>
    </w:p>
    <w:p w14:paraId="6607BE67">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"_Toc237987577" </w:instrText>
      </w:r>
      <w:r>
        <w:fldChar w:fldCharType="separate"/>
      </w:r>
      <w:r>
        <w:rPr>
          <w:rStyle w:val="31"/>
          <w:rFonts w:hint="eastAsia"/>
        </w:rPr>
        <w:t>（四）技术进步带来发展动力</w:t>
      </w:r>
      <w:r>
        <w:tab/>
      </w:r>
      <w:r>
        <w:fldChar w:fldCharType="begin"/>
      </w:r>
      <w:r>
        <w:instrText xml:space="preserve"> PAGEREF _Toc237987577 \h </w:instrText>
      </w:r>
      <w:r>
        <w:fldChar w:fldCharType="separate"/>
      </w:r>
      <w:r>
        <w:t>13</w:t>
      </w:r>
      <w:r>
        <w:fldChar w:fldCharType="end"/>
      </w:r>
      <w:r>
        <w:fldChar w:fldCharType="end"/>
      </w:r>
    </w:p>
    <w:p w14:paraId="04165629">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"_Toc237987578" </w:instrText>
      </w:r>
      <w:r>
        <w:fldChar w:fldCharType="separate"/>
      </w:r>
      <w:r>
        <w:rPr>
          <w:rStyle w:val="31"/>
          <w:rFonts w:hint="eastAsia"/>
        </w:rPr>
        <w:t>（五）产业融合发展机遇</w:t>
      </w:r>
      <w:r>
        <w:tab/>
      </w:r>
      <w:r>
        <w:fldChar w:fldCharType="begin"/>
      </w:r>
      <w:r>
        <w:instrText xml:space="preserve"> PAGEREF _Toc237987578 \h </w:instrText>
      </w:r>
      <w:r>
        <w:fldChar w:fldCharType="separate"/>
      </w:r>
      <w:r>
        <w:t>13</w:t>
      </w:r>
      <w:r>
        <w:fldChar w:fldCharType="end"/>
      </w:r>
      <w:r>
        <w:fldChar w:fldCharType="end"/>
      </w:r>
    </w:p>
    <w:p w14:paraId="0BE06A2F">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"_Toc237987579" </w:instrText>
      </w:r>
      <w:r>
        <w:fldChar w:fldCharType="separate"/>
      </w:r>
      <w:r>
        <w:rPr>
          <w:rStyle w:val="31"/>
          <w:rFonts w:hint="eastAsia" w:ascii="Arial" w:hAnsi="Arial" w:eastAsia="黑体"/>
          <w:kern w:val="0"/>
        </w:rPr>
        <w:t>二、存在问题及制约条件</w:t>
      </w:r>
      <w:r>
        <w:tab/>
      </w:r>
      <w:r>
        <w:fldChar w:fldCharType="begin"/>
      </w:r>
      <w:r>
        <w:instrText xml:space="preserve"> PAGEREF _Toc237987579 \h </w:instrText>
      </w:r>
      <w:r>
        <w:fldChar w:fldCharType="separate"/>
      </w:r>
      <w:r>
        <w:t>13</w:t>
      </w:r>
      <w:r>
        <w:fldChar w:fldCharType="end"/>
      </w:r>
      <w:r>
        <w:fldChar w:fldCharType="end"/>
      </w:r>
    </w:p>
    <w:p w14:paraId="1150C205">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"_Toc237987580" </w:instrText>
      </w:r>
      <w:r>
        <w:fldChar w:fldCharType="separate"/>
      </w:r>
      <w:r>
        <w:rPr>
          <w:rStyle w:val="31"/>
          <w:rFonts w:hint="eastAsia"/>
        </w:rPr>
        <w:t>（一）农业发展存在的问题</w:t>
      </w:r>
      <w:r>
        <w:tab/>
      </w:r>
      <w:r>
        <w:fldChar w:fldCharType="begin"/>
      </w:r>
      <w:r>
        <w:instrText xml:space="preserve"> PAGEREF _Toc237987580 \h </w:instrText>
      </w:r>
      <w:r>
        <w:fldChar w:fldCharType="separate"/>
      </w:r>
      <w:r>
        <w:t>14</w:t>
      </w:r>
      <w:r>
        <w:fldChar w:fldCharType="end"/>
      </w:r>
      <w:r>
        <w:fldChar w:fldCharType="end"/>
      </w:r>
    </w:p>
    <w:p w14:paraId="4AFC24FC">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"_Toc237987581" </w:instrText>
      </w:r>
      <w:r>
        <w:fldChar w:fldCharType="separate"/>
      </w:r>
      <w:r>
        <w:rPr>
          <w:rStyle w:val="31"/>
          <w:rFonts w:hint="eastAsia"/>
        </w:rPr>
        <w:t>（二）畜牧业发展存在的问题</w:t>
      </w:r>
      <w:r>
        <w:tab/>
      </w:r>
      <w:r>
        <w:fldChar w:fldCharType="begin"/>
      </w:r>
      <w:r>
        <w:instrText xml:space="preserve"> PAGEREF _Toc237987581 \h </w:instrText>
      </w:r>
      <w:r>
        <w:fldChar w:fldCharType="separate"/>
      </w:r>
      <w:r>
        <w:t>15</w:t>
      </w:r>
      <w:r>
        <w:fldChar w:fldCharType="end"/>
      </w:r>
      <w:r>
        <w:fldChar w:fldCharType="end"/>
      </w:r>
    </w:p>
    <w:p w14:paraId="633804B7">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"_Toc237987582" </w:instrText>
      </w:r>
      <w:r>
        <w:fldChar w:fldCharType="separate"/>
      </w:r>
      <w:r>
        <w:rPr>
          <w:rStyle w:val="31"/>
          <w:rFonts w:hint="eastAsia"/>
        </w:rPr>
        <w:t>（三）产业融合与政策支持短板</w:t>
      </w:r>
      <w:r>
        <w:tab/>
      </w:r>
      <w:r>
        <w:fldChar w:fldCharType="begin"/>
      </w:r>
      <w:r>
        <w:instrText xml:space="preserve"> PAGEREF _Toc237987582 \h </w:instrText>
      </w:r>
      <w:r>
        <w:fldChar w:fldCharType="separate"/>
      </w:r>
      <w:r>
        <w:t>17</w:t>
      </w:r>
      <w:r>
        <w:fldChar w:fldCharType="end"/>
      </w:r>
      <w:r>
        <w:fldChar w:fldCharType="end"/>
      </w:r>
    </w:p>
    <w:p w14:paraId="708F7BF8">
      <w:pPr>
        <w:pStyle w:val="17"/>
        <w:tabs>
          <w:tab w:val="right" w:leader="dot" w:pos="8720"/>
        </w:tabs>
        <w:rPr>
          <w:rFonts w:asciiTheme="minorHAnsi" w:hAnsiTheme="minorHAnsi" w:eastAsiaTheme="minorEastAsia" w:cstheme="minorBidi"/>
          <w:sz w:val="21"/>
          <w:szCs w:val="22"/>
        </w:rPr>
      </w:pPr>
      <w:r>
        <w:fldChar w:fldCharType="begin"/>
      </w:r>
      <w:r>
        <w:instrText xml:space="preserve"> HYPERLINK \l "_Toc237987583" </w:instrText>
      </w:r>
      <w:r>
        <w:fldChar w:fldCharType="separate"/>
      </w:r>
      <w:r>
        <w:rPr>
          <w:rStyle w:val="31"/>
          <w:rFonts w:hint="eastAsia" w:eastAsia="宋体"/>
          <w:b/>
        </w:rPr>
        <w:t>第三章</w:t>
      </w:r>
      <w:r>
        <w:rPr>
          <w:rStyle w:val="31"/>
          <w:rFonts w:eastAsia="宋体"/>
          <w:b/>
        </w:rPr>
        <w:t xml:space="preserve"> </w:t>
      </w:r>
      <w:r>
        <w:rPr>
          <w:rStyle w:val="31"/>
          <w:rFonts w:hint="eastAsia" w:eastAsia="宋体"/>
          <w:b/>
        </w:rPr>
        <w:t>“十五五”规划指导思想与发展目标</w:t>
      </w:r>
      <w:r>
        <w:tab/>
      </w:r>
      <w:r>
        <w:fldChar w:fldCharType="begin"/>
      </w:r>
      <w:r>
        <w:instrText xml:space="preserve"> PAGEREF _Toc237987583 \h </w:instrText>
      </w:r>
      <w:r>
        <w:fldChar w:fldCharType="separate"/>
      </w:r>
      <w:r>
        <w:t>18</w:t>
      </w:r>
      <w:r>
        <w:fldChar w:fldCharType="end"/>
      </w:r>
      <w:r>
        <w:fldChar w:fldCharType="end"/>
      </w:r>
    </w:p>
    <w:p w14:paraId="25755F0F">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"_Toc237987584" </w:instrText>
      </w:r>
      <w:r>
        <w:fldChar w:fldCharType="separate"/>
      </w:r>
      <w:r>
        <w:rPr>
          <w:rStyle w:val="31"/>
          <w:rFonts w:hint="eastAsia" w:ascii="Arial" w:hAnsi="Arial" w:eastAsia="黑体"/>
          <w:kern w:val="0"/>
        </w:rPr>
        <w:t>一、指导思想</w:t>
      </w:r>
      <w:r>
        <w:tab/>
      </w:r>
      <w:r>
        <w:fldChar w:fldCharType="begin"/>
      </w:r>
      <w:r>
        <w:instrText xml:space="preserve"> PAGEREF _Toc237987584 \h </w:instrText>
      </w:r>
      <w:r>
        <w:fldChar w:fldCharType="separate"/>
      </w:r>
      <w:r>
        <w:t>18</w:t>
      </w:r>
      <w:r>
        <w:fldChar w:fldCharType="end"/>
      </w:r>
      <w:r>
        <w:fldChar w:fldCharType="end"/>
      </w:r>
    </w:p>
    <w:p w14:paraId="43201B45">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"_Toc237987585" </w:instrText>
      </w:r>
      <w:r>
        <w:fldChar w:fldCharType="separate"/>
      </w:r>
      <w:r>
        <w:rPr>
          <w:rStyle w:val="31"/>
          <w:rFonts w:hint="eastAsia" w:ascii="Arial" w:hAnsi="Arial" w:eastAsia="黑体"/>
          <w:kern w:val="0"/>
        </w:rPr>
        <w:t>二、规划原则</w:t>
      </w:r>
      <w:r>
        <w:tab/>
      </w:r>
      <w:r>
        <w:fldChar w:fldCharType="begin"/>
      </w:r>
      <w:r>
        <w:instrText xml:space="preserve"> PAGEREF _Toc237987585 \h </w:instrText>
      </w:r>
      <w:r>
        <w:fldChar w:fldCharType="separate"/>
      </w:r>
      <w:r>
        <w:t>18</w:t>
      </w:r>
      <w:r>
        <w:fldChar w:fldCharType="end"/>
      </w:r>
      <w:r>
        <w:fldChar w:fldCharType="end"/>
      </w:r>
    </w:p>
    <w:p w14:paraId="23FBAD9D">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"_Toc237987586" </w:instrText>
      </w:r>
      <w:r>
        <w:fldChar w:fldCharType="separate"/>
      </w:r>
      <w:r>
        <w:rPr>
          <w:rStyle w:val="31"/>
          <w:rFonts w:hint="eastAsia"/>
        </w:rPr>
        <w:t>（一）坚持科学发展原则</w:t>
      </w:r>
      <w:r>
        <w:tab/>
      </w:r>
      <w:r>
        <w:fldChar w:fldCharType="begin"/>
      </w:r>
      <w:r>
        <w:instrText xml:space="preserve"> PAGEREF _Toc237987586 \h </w:instrText>
      </w:r>
      <w:r>
        <w:fldChar w:fldCharType="separate"/>
      </w:r>
      <w:r>
        <w:t>18</w:t>
      </w:r>
      <w:r>
        <w:fldChar w:fldCharType="end"/>
      </w:r>
      <w:r>
        <w:fldChar w:fldCharType="end"/>
      </w:r>
    </w:p>
    <w:p w14:paraId="5DE51100">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"_Toc237987587" </w:instrText>
      </w:r>
      <w:r>
        <w:fldChar w:fldCharType="separate"/>
      </w:r>
      <w:r>
        <w:rPr>
          <w:rStyle w:val="31"/>
          <w:rFonts w:hint="eastAsia"/>
        </w:rPr>
        <w:t>（二）坚持市场导向原则</w:t>
      </w:r>
      <w:r>
        <w:tab/>
      </w:r>
      <w:r>
        <w:fldChar w:fldCharType="begin"/>
      </w:r>
      <w:r>
        <w:instrText xml:space="preserve"> PAGEREF _Toc237987587 \h </w:instrText>
      </w:r>
      <w:r>
        <w:fldChar w:fldCharType="separate"/>
      </w:r>
      <w:r>
        <w:t>19</w:t>
      </w:r>
      <w:r>
        <w:fldChar w:fldCharType="end"/>
      </w:r>
      <w:r>
        <w:fldChar w:fldCharType="end"/>
      </w:r>
    </w:p>
    <w:p w14:paraId="3FBC2AF2">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"_Toc237987588" </w:instrText>
      </w:r>
      <w:r>
        <w:fldChar w:fldCharType="separate"/>
      </w:r>
      <w:r>
        <w:rPr>
          <w:rStyle w:val="31"/>
          <w:rFonts w:hint="eastAsia"/>
        </w:rPr>
        <w:t>（三）坚持政府引导原则</w:t>
      </w:r>
      <w:r>
        <w:tab/>
      </w:r>
      <w:r>
        <w:fldChar w:fldCharType="begin"/>
      </w:r>
      <w:r>
        <w:instrText xml:space="preserve"> PAGEREF _Toc237987588 \h </w:instrText>
      </w:r>
      <w:r>
        <w:fldChar w:fldCharType="separate"/>
      </w:r>
      <w:r>
        <w:t>19</w:t>
      </w:r>
      <w:r>
        <w:fldChar w:fldCharType="end"/>
      </w:r>
      <w:r>
        <w:fldChar w:fldCharType="end"/>
      </w:r>
    </w:p>
    <w:p w14:paraId="7C0438BE">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"_Toc237987589" </w:instrText>
      </w:r>
      <w:r>
        <w:fldChar w:fldCharType="separate"/>
      </w:r>
      <w:r>
        <w:rPr>
          <w:rStyle w:val="31"/>
          <w:rFonts w:hint="eastAsia"/>
        </w:rPr>
        <w:t>（四）坚持特色发展原则</w:t>
      </w:r>
      <w:r>
        <w:tab/>
      </w:r>
      <w:r>
        <w:fldChar w:fldCharType="begin"/>
      </w:r>
      <w:r>
        <w:instrText xml:space="preserve"> PAGEREF _Toc237987589 \h </w:instrText>
      </w:r>
      <w:r>
        <w:fldChar w:fldCharType="separate"/>
      </w:r>
      <w:r>
        <w:t>19</w:t>
      </w:r>
      <w:r>
        <w:fldChar w:fldCharType="end"/>
      </w:r>
      <w:r>
        <w:fldChar w:fldCharType="end"/>
      </w:r>
    </w:p>
    <w:p w14:paraId="3C204FBA">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"_Toc237987590" </w:instrText>
      </w:r>
      <w:r>
        <w:fldChar w:fldCharType="separate"/>
      </w:r>
      <w:r>
        <w:rPr>
          <w:rStyle w:val="31"/>
          <w:rFonts w:hint="eastAsia"/>
        </w:rPr>
        <w:t>（五）坚持绿色发展原则</w:t>
      </w:r>
      <w:r>
        <w:tab/>
      </w:r>
      <w:r>
        <w:fldChar w:fldCharType="begin"/>
      </w:r>
      <w:r>
        <w:instrText xml:space="preserve"> PAGEREF _Toc237987590 \h </w:instrText>
      </w:r>
      <w:r>
        <w:fldChar w:fldCharType="separate"/>
      </w:r>
      <w:r>
        <w:t>19</w:t>
      </w:r>
      <w:r>
        <w:fldChar w:fldCharType="end"/>
      </w:r>
      <w:r>
        <w:fldChar w:fldCharType="end"/>
      </w:r>
    </w:p>
    <w:p w14:paraId="2FA11DB7">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"_Toc237987591" </w:instrText>
      </w:r>
      <w:r>
        <w:fldChar w:fldCharType="separate"/>
      </w:r>
      <w:r>
        <w:rPr>
          <w:rStyle w:val="31"/>
          <w:rFonts w:hint="eastAsia"/>
        </w:rPr>
        <w:t>（六）坚持创新驱动原则</w:t>
      </w:r>
      <w:r>
        <w:tab/>
      </w:r>
      <w:r>
        <w:fldChar w:fldCharType="begin"/>
      </w:r>
      <w:r>
        <w:instrText xml:space="preserve"> PAGEREF _Toc237987591 \h </w:instrText>
      </w:r>
      <w:r>
        <w:fldChar w:fldCharType="separate"/>
      </w:r>
      <w:r>
        <w:t>20</w:t>
      </w:r>
      <w:r>
        <w:fldChar w:fldCharType="end"/>
      </w:r>
      <w:r>
        <w:fldChar w:fldCharType="end"/>
      </w:r>
    </w:p>
    <w:p w14:paraId="5F5DADC4">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"_Toc237987592" </w:instrText>
      </w:r>
      <w:r>
        <w:fldChar w:fldCharType="separate"/>
      </w:r>
      <w:r>
        <w:rPr>
          <w:rStyle w:val="31"/>
          <w:rFonts w:hint="eastAsia"/>
        </w:rPr>
        <w:t>（七）坚持民生为本原则</w:t>
      </w:r>
      <w:r>
        <w:tab/>
      </w:r>
      <w:r>
        <w:fldChar w:fldCharType="begin"/>
      </w:r>
      <w:r>
        <w:instrText xml:space="preserve"> PAGEREF _Toc237987592 \h </w:instrText>
      </w:r>
      <w:r>
        <w:fldChar w:fldCharType="separate"/>
      </w:r>
      <w:r>
        <w:t>20</w:t>
      </w:r>
      <w:r>
        <w:fldChar w:fldCharType="end"/>
      </w:r>
      <w:r>
        <w:fldChar w:fldCharType="end"/>
      </w:r>
    </w:p>
    <w:p w14:paraId="4236D518">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"_Toc237987593" </w:instrText>
      </w:r>
      <w:r>
        <w:fldChar w:fldCharType="separate"/>
      </w:r>
      <w:r>
        <w:rPr>
          <w:rStyle w:val="31"/>
          <w:rFonts w:hint="eastAsia"/>
        </w:rPr>
        <w:t>（八）坚持产业融合原则</w:t>
      </w:r>
      <w:r>
        <w:tab/>
      </w:r>
      <w:r>
        <w:fldChar w:fldCharType="begin"/>
      </w:r>
      <w:r>
        <w:instrText xml:space="preserve"> PAGEREF _Toc237987593 \h </w:instrText>
      </w:r>
      <w:r>
        <w:fldChar w:fldCharType="separate"/>
      </w:r>
      <w:r>
        <w:t>20</w:t>
      </w:r>
      <w:r>
        <w:fldChar w:fldCharType="end"/>
      </w:r>
      <w:r>
        <w:fldChar w:fldCharType="end"/>
      </w:r>
    </w:p>
    <w:p w14:paraId="2707175C">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"_Toc237987594" </w:instrText>
      </w:r>
      <w:r>
        <w:fldChar w:fldCharType="separate"/>
      </w:r>
      <w:r>
        <w:rPr>
          <w:rStyle w:val="31"/>
          <w:rFonts w:hint="eastAsia" w:ascii="Arial" w:hAnsi="Arial" w:eastAsia="黑体"/>
          <w:kern w:val="0"/>
        </w:rPr>
        <w:t>三、总体目标</w:t>
      </w:r>
      <w:r>
        <w:tab/>
      </w:r>
      <w:r>
        <w:fldChar w:fldCharType="begin"/>
      </w:r>
      <w:r>
        <w:instrText xml:space="preserve"> PAGEREF _Toc237987594 \h </w:instrText>
      </w:r>
      <w:r>
        <w:fldChar w:fldCharType="separate"/>
      </w:r>
      <w:r>
        <w:t>21</w:t>
      </w:r>
      <w:r>
        <w:fldChar w:fldCharType="end"/>
      </w:r>
      <w:r>
        <w:fldChar w:fldCharType="end"/>
      </w:r>
    </w:p>
    <w:p w14:paraId="487DAD6E">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"_Toc237987595" </w:instrText>
      </w:r>
      <w:r>
        <w:fldChar w:fldCharType="separate"/>
      </w:r>
      <w:r>
        <w:rPr>
          <w:rStyle w:val="31"/>
          <w:rFonts w:hint="eastAsia" w:ascii="Arial" w:hAnsi="Arial" w:eastAsia="黑体"/>
          <w:kern w:val="0"/>
        </w:rPr>
        <w:t>四、空间布局与功能分区</w:t>
      </w:r>
      <w:r>
        <w:tab/>
      </w:r>
      <w:r>
        <w:fldChar w:fldCharType="begin"/>
      </w:r>
      <w:r>
        <w:instrText xml:space="preserve"> PAGEREF _Toc237987595 \h </w:instrText>
      </w:r>
      <w:r>
        <w:fldChar w:fldCharType="separate"/>
      </w:r>
      <w:r>
        <w:t>22</w:t>
      </w:r>
      <w:r>
        <w:fldChar w:fldCharType="end"/>
      </w:r>
      <w:r>
        <w:fldChar w:fldCharType="end"/>
      </w:r>
    </w:p>
    <w:p w14:paraId="286F3E81">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"_Toc237987596" </w:instrText>
      </w:r>
      <w:r>
        <w:fldChar w:fldCharType="separate"/>
      </w:r>
      <w:r>
        <w:rPr>
          <w:rStyle w:val="31"/>
          <w:rFonts w:hint="eastAsia" w:ascii="Arial" w:hAnsi="Arial" w:eastAsia="黑体"/>
          <w:kern w:val="0"/>
        </w:rPr>
        <w:t>五、农业规划目标与布局</w:t>
      </w:r>
      <w:r>
        <w:tab/>
      </w:r>
      <w:r>
        <w:fldChar w:fldCharType="begin"/>
      </w:r>
      <w:r>
        <w:instrText xml:space="preserve"> PAGEREF _Toc237987596 \h </w:instrText>
      </w:r>
      <w:r>
        <w:fldChar w:fldCharType="separate"/>
      </w:r>
      <w:r>
        <w:t>28</w:t>
      </w:r>
      <w:r>
        <w:fldChar w:fldCharType="end"/>
      </w:r>
      <w:r>
        <w:fldChar w:fldCharType="end"/>
      </w:r>
    </w:p>
    <w:p w14:paraId="5DA296A6">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"_Toc237987597" </w:instrText>
      </w:r>
      <w:r>
        <w:fldChar w:fldCharType="separate"/>
      </w:r>
      <w:r>
        <w:rPr>
          <w:rStyle w:val="31"/>
          <w:rFonts w:hint="eastAsia"/>
        </w:rPr>
        <w:t>（一）粮食安全与高效生产</w:t>
      </w:r>
      <w:r>
        <w:tab/>
      </w:r>
      <w:r>
        <w:fldChar w:fldCharType="begin"/>
      </w:r>
      <w:r>
        <w:instrText xml:space="preserve"> PAGEREF _Toc237987597 \h </w:instrText>
      </w:r>
      <w:r>
        <w:fldChar w:fldCharType="separate"/>
      </w:r>
      <w:r>
        <w:t>28</w:t>
      </w:r>
      <w:r>
        <w:fldChar w:fldCharType="end"/>
      </w:r>
      <w:r>
        <w:fldChar w:fldCharType="end"/>
      </w:r>
    </w:p>
    <w:p w14:paraId="77DBEB2C">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"_Toc237987599" </w:instrText>
      </w:r>
      <w:r>
        <w:fldChar w:fldCharType="separate"/>
      </w:r>
      <w:r>
        <w:rPr>
          <w:rStyle w:val="31"/>
          <w:rFonts w:hint="eastAsia"/>
        </w:rPr>
        <w:t>（</w:t>
      </w:r>
      <w:r>
        <w:rPr>
          <w:rStyle w:val="31"/>
          <w:rFonts w:hint="eastAsia"/>
          <w:lang w:eastAsia="zh-CN"/>
        </w:rPr>
        <w:t>二</w:t>
      </w:r>
      <w:r>
        <w:rPr>
          <w:rStyle w:val="31"/>
          <w:rFonts w:hint="eastAsia"/>
        </w:rPr>
        <w:t>）加快发展绿色有机果蔬产业</w:t>
      </w:r>
      <w:r>
        <w:tab/>
      </w:r>
      <w:r>
        <w:fldChar w:fldCharType="begin"/>
      </w:r>
      <w:r>
        <w:instrText xml:space="preserve"> PAGEREF _Toc237987599 \h </w:instrText>
      </w:r>
      <w:r>
        <w:fldChar w:fldCharType="separate"/>
      </w:r>
      <w:r>
        <w:t>33</w:t>
      </w:r>
      <w:r>
        <w:fldChar w:fldCharType="end"/>
      </w:r>
      <w:r>
        <w:fldChar w:fldCharType="end"/>
      </w:r>
    </w:p>
    <w:p w14:paraId="7AE21E3F">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"_Toc237987600" </w:instrText>
      </w:r>
      <w:r>
        <w:fldChar w:fldCharType="separate"/>
      </w:r>
      <w:r>
        <w:rPr>
          <w:rStyle w:val="31"/>
          <w:rFonts w:hint="eastAsia"/>
        </w:rPr>
        <w:t>（</w:t>
      </w:r>
      <w:r>
        <w:rPr>
          <w:rStyle w:val="31"/>
          <w:rFonts w:hint="eastAsia"/>
          <w:lang w:eastAsia="zh-CN"/>
        </w:rPr>
        <w:t>三</w:t>
      </w:r>
      <w:r>
        <w:rPr>
          <w:rStyle w:val="31"/>
          <w:rFonts w:hint="eastAsia"/>
        </w:rPr>
        <w:t>）空间布局</w:t>
      </w:r>
      <w:r>
        <w:tab/>
      </w:r>
      <w:r>
        <w:fldChar w:fldCharType="begin"/>
      </w:r>
      <w:r>
        <w:instrText xml:space="preserve"> PAGEREF _Toc237987600 \h </w:instrText>
      </w:r>
      <w:r>
        <w:fldChar w:fldCharType="separate"/>
      </w:r>
      <w:r>
        <w:t>34</w:t>
      </w:r>
      <w:r>
        <w:fldChar w:fldCharType="end"/>
      </w:r>
      <w:r>
        <w:fldChar w:fldCharType="end"/>
      </w:r>
    </w:p>
    <w:p w14:paraId="6FDCA304">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"_Toc237987601" </w:instrText>
      </w:r>
      <w:r>
        <w:fldChar w:fldCharType="separate"/>
      </w:r>
      <w:r>
        <w:rPr>
          <w:rStyle w:val="31"/>
          <w:rFonts w:hint="eastAsia" w:ascii="Arial" w:hAnsi="Arial" w:eastAsia="黑体"/>
          <w:kern w:val="0"/>
        </w:rPr>
        <w:t>六、畜牧业规划目标与布局</w:t>
      </w:r>
      <w:r>
        <w:tab/>
      </w:r>
      <w:r>
        <w:fldChar w:fldCharType="begin"/>
      </w:r>
      <w:r>
        <w:instrText xml:space="preserve"> PAGEREF _Toc237987601 \h </w:instrText>
      </w:r>
      <w:r>
        <w:fldChar w:fldCharType="separate"/>
      </w:r>
      <w:r>
        <w:t>35</w:t>
      </w:r>
      <w:r>
        <w:fldChar w:fldCharType="end"/>
      </w:r>
      <w:r>
        <w:fldChar w:fldCharType="end"/>
      </w:r>
    </w:p>
    <w:p w14:paraId="4C522E7C">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"_Toc237987602" </w:instrText>
      </w:r>
      <w:r>
        <w:fldChar w:fldCharType="separate"/>
      </w:r>
      <w:r>
        <w:rPr>
          <w:rStyle w:val="31"/>
          <w:rFonts w:hint="eastAsia"/>
        </w:rPr>
        <w:t>（一）规模化与良种化发展</w:t>
      </w:r>
      <w:r>
        <w:tab/>
      </w:r>
      <w:r>
        <w:fldChar w:fldCharType="begin"/>
      </w:r>
      <w:r>
        <w:instrText xml:space="preserve"> PAGEREF _Toc237987602 \h </w:instrText>
      </w:r>
      <w:r>
        <w:fldChar w:fldCharType="separate"/>
      </w:r>
      <w:r>
        <w:t>35</w:t>
      </w:r>
      <w:r>
        <w:fldChar w:fldCharType="end"/>
      </w:r>
      <w:r>
        <w:fldChar w:fldCharType="end"/>
      </w:r>
    </w:p>
    <w:p w14:paraId="6B0227D8">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"_Toc237987603" </w:instrText>
      </w:r>
      <w:r>
        <w:fldChar w:fldCharType="separate"/>
      </w:r>
      <w:r>
        <w:rPr>
          <w:rStyle w:val="31"/>
          <w:rFonts w:hint="eastAsia"/>
        </w:rPr>
        <w:t>（二）产业链延伸与循环经济</w:t>
      </w:r>
      <w:r>
        <w:tab/>
      </w:r>
      <w:r>
        <w:fldChar w:fldCharType="begin"/>
      </w:r>
      <w:r>
        <w:instrText xml:space="preserve"> PAGEREF _Toc237987603 \h </w:instrText>
      </w:r>
      <w:r>
        <w:fldChar w:fldCharType="separate"/>
      </w:r>
      <w:r>
        <w:t>36</w:t>
      </w:r>
      <w:r>
        <w:fldChar w:fldCharType="end"/>
      </w:r>
      <w:r>
        <w:fldChar w:fldCharType="end"/>
      </w:r>
    </w:p>
    <w:p w14:paraId="697A1A23">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"_Toc237987604" </w:instrText>
      </w:r>
      <w:r>
        <w:fldChar w:fldCharType="separate"/>
      </w:r>
      <w:r>
        <w:rPr>
          <w:rStyle w:val="31"/>
          <w:rFonts w:hint="eastAsia"/>
        </w:rPr>
        <w:t>（三）生态保护与可持续发展</w:t>
      </w:r>
      <w:r>
        <w:tab/>
      </w:r>
      <w:r>
        <w:fldChar w:fldCharType="begin"/>
      </w:r>
      <w:r>
        <w:instrText xml:space="preserve"> PAGEREF _Toc237987604 \h </w:instrText>
      </w:r>
      <w:r>
        <w:fldChar w:fldCharType="separate"/>
      </w:r>
      <w:r>
        <w:t>36</w:t>
      </w:r>
      <w:r>
        <w:fldChar w:fldCharType="end"/>
      </w:r>
      <w:r>
        <w:fldChar w:fldCharType="end"/>
      </w:r>
    </w:p>
    <w:p w14:paraId="70B159DD">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"_Toc237987605" </w:instrText>
      </w:r>
      <w:r>
        <w:fldChar w:fldCharType="separate"/>
      </w:r>
      <w:r>
        <w:rPr>
          <w:rStyle w:val="31"/>
          <w:rFonts w:hint="eastAsia"/>
        </w:rPr>
        <w:t>（四）空间布局</w:t>
      </w:r>
      <w:r>
        <w:tab/>
      </w:r>
      <w:r>
        <w:fldChar w:fldCharType="begin"/>
      </w:r>
      <w:r>
        <w:instrText xml:space="preserve"> PAGEREF _Toc237987605 \h </w:instrText>
      </w:r>
      <w:r>
        <w:fldChar w:fldCharType="separate"/>
      </w:r>
      <w:r>
        <w:t>36</w:t>
      </w:r>
      <w:r>
        <w:fldChar w:fldCharType="end"/>
      </w:r>
      <w:r>
        <w:fldChar w:fldCharType="end"/>
      </w:r>
    </w:p>
    <w:p w14:paraId="4061EB7F">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"_Toc237987606" </w:instrText>
      </w:r>
      <w:r>
        <w:fldChar w:fldCharType="separate"/>
      </w:r>
      <w:r>
        <w:rPr>
          <w:rStyle w:val="31"/>
          <w:rFonts w:hint="eastAsia" w:ascii="Arial" w:hAnsi="Arial" w:eastAsia="黑体"/>
          <w:kern w:val="0"/>
        </w:rPr>
        <w:t>七、生态环境与资源可持续利用</w:t>
      </w:r>
      <w:r>
        <w:tab/>
      </w:r>
      <w:r>
        <w:fldChar w:fldCharType="begin"/>
      </w:r>
      <w:r>
        <w:instrText xml:space="preserve"> PAGEREF _Toc237987606 \h </w:instrText>
      </w:r>
      <w:r>
        <w:fldChar w:fldCharType="separate"/>
      </w:r>
      <w:r>
        <w:t>37</w:t>
      </w:r>
      <w:r>
        <w:fldChar w:fldCharType="end"/>
      </w:r>
      <w:r>
        <w:fldChar w:fldCharType="end"/>
      </w:r>
    </w:p>
    <w:p w14:paraId="3C95F7E0">
      <w:pPr>
        <w:pStyle w:val="17"/>
        <w:tabs>
          <w:tab w:val="right" w:leader="dot" w:pos="8720"/>
        </w:tabs>
        <w:rPr>
          <w:rFonts w:asciiTheme="minorHAnsi" w:hAnsiTheme="minorHAnsi" w:eastAsiaTheme="minorEastAsia" w:cstheme="minorBidi"/>
          <w:sz w:val="21"/>
          <w:szCs w:val="22"/>
        </w:rPr>
      </w:pPr>
      <w:r>
        <w:fldChar w:fldCharType="begin"/>
      </w:r>
      <w:r>
        <w:instrText xml:space="preserve"> HYPERLINK \l "_Toc237987607" </w:instrText>
      </w:r>
      <w:r>
        <w:fldChar w:fldCharType="separate"/>
      </w:r>
      <w:r>
        <w:rPr>
          <w:rStyle w:val="31"/>
          <w:rFonts w:hint="eastAsia" w:eastAsia="宋体"/>
          <w:b/>
        </w:rPr>
        <w:t>第四章</w:t>
      </w:r>
      <w:r>
        <w:rPr>
          <w:rStyle w:val="31"/>
          <w:rFonts w:eastAsia="宋体"/>
          <w:b/>
        </w:rPr>
        <w:t xml:space="preserve"> </w:t>
      </w:r>
      <w:r>
        <w:rPr>
          <w:rStyle w:val="31"/>
          <w:rFonts w:hint="eastAsia" w:eastAsia="宋体"/>
          <w:b/>
        </w:rPr>
        <w:t>“十五五”农业农村重点发展目标</w:t>
      </w:r>
      <w:r>
        <w:tab/>
      </w:r>
      <w:r>
        <w:fldChar w:fldCharType="begin"/>
      </w:r>
      <w:r>
        <w:instrText xml:space="preserve"> PAGEREF _Toc237987607 \h </w:instrText>
      </w:r>
      <w:r>
        <w:fldChar w:fldCharType="separate"/>
      </w:r>
      <w:r>
        <w:t>45</w:t>
      </w:r>
      <w:r>
        <w:fldChar w:fldCharType="end"/>
      </w:r>
      <w:r>
        <w:fldChar w:fldCharType="end"/>
      </w:r>
    </w:p>
    <w:p w14:paraId="3A0C7A31">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"_Toc237987608" </w:instrText>
      </w:r>
      <w:r>
        <w:fldChar w:fldCharType="separate"/>
      </w:r>
      <w:r>
        <w:rPr>
          <w:rStyle w:val="31"/>
          <w:rFonts w:hint="eastAsia" w:ascii="Arial" w:hAnsi="Arial" w:eastAsia="黑体"/>
          <w:kern w:val="0"/>
        </w:rPr>
        <w:t>一、全方位夯实粮食安全根基</w:t>
      </w:r>
      <w:r>
        <w:tab/>
      </w:r>
      <w:r>
        <w:fldChar w:fldCharType="begin"/>
      </w:r>
      <w:r>
        <w:instrText xml:space="preserve"> PAGEREF _Toc237987608 \h </w:instrText>
      </w:r>
      <w:r>
        <w:fldChar w:fldCharType="separate"/>
      </w:r>
      <w:r>
        <w:t>45</w:t>
      </w:r>
      <w:r>
        <w:fldChar w:fldCharType="end"/>
      </w:r>
      <w:r>
        <w:fldChar w:fldCharType="end"/>
      </w:r>
    </w:p>
    <w:p w14:paraId="52200343">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"_Toc237987609" </w:instrText>
      </w:r>
      <w:r>
        <w:fldChar w:fldCharType="separate"/>
      </w:r>
      <w:r>
        <w:rPr>
          <w:rStyle w:val="31"/>
          <w:rFonts w:hint="eastAsia"/>
        </w:rPr>
        <w:t>（一）提升粮食和重要农产品生产水平</w:t>
      </w:r>
      <w:r>
        <w:tab/>
      </w:r>
      <w:r>
        <w:fldChar w:fldCharType="begin"/>
      </w:r>
      <w:r>
        <w:instrText xml:space="preserve"> PAGEREF _Toc237987609 \h </w:instrText>
      </w:r>
      <w:r>
        <w:fldChar w:fldCharType="separate"/>
      </w:r>
      <w:r>
        <w:t>45</w:t>
      </w:r>
      <w:r>
        <w:fldChar w:fldCharType="end"/>
      </w:r>
      <w:r>
        <w:fldChar w:fldCharType="end"/>
      </w:r>
    </w:p>
    <w:p w14:paraId="39286324">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"_Toc237987610" </w:instrText>
      </w:r>
      <w:r>
        <w:fldChar w:fldCharType="separate"/>
      </w:r>
      <w:r>
        <w:rPr>
          <w:rStyle w:val="31"/>
          <w:rFonts w:hint="eastAsia"/>
        </w:rPr>
        <w:t>（二）全面加强耕地保护和建设</w:t>
      </w:r>
      <w:r>
        <w:tab/>
      </w:r>
      <w:r>
        <w:fldChar w:fldCharType="begin"/>
      </w:r>
      <w:r>
        <w:instrText xml:space="preserve"> PAGEREF _Toc237987610 \h </w:instrText>
      </w:r>
      <w:r>
        <w:fldChar w:fldCharType="separate"/>
      </w:r>
      <w:r>
        <w:t>45</w:t>
      </w:r>
      <w:r>
        <w:fldChar w:fldCharType="end"/>
      </w:r>
      <w:r>
        <w:fldChar w:fldCharType="end"/>
      </w:r>
    </w:p>
    <w:p w14:paraId="6D174F29">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"_Toc237987611" </w:instrText>
      </w:r>
      <w:r>
        <w:fldChar w:fldCharType="separate"/>
      </w:r>
      <w:r>
        <w:rPr>
          <w:rStyle w:val="31"/>
          <w:rFonts w:hint="eastAsia"/>
        </w:rPr>
        <w:t>（三）推动农机装备全面升级</w:t>
      </w:r>
      <w:r>
        <w:tab/>
      </w:r>
      <w:r>
        <w:fldChar w:fldCharType="begin"/>
      </w:r>
      <w:r>
        <w:instrText xml:space="preserve"> PAGEREF _Toc237987611 \h </w:instrText>
      </w:r>
      <w:r>
        <w:fldChar w:fldCharType="separate"/>
      </w:r>
      <w:r>
        <w:t>45</w:t>
      </w:r>
      <w:r>
        <w:fldChar w:fldCharType="end"/>
      </w:r>
      <w:r>
        <w:fldChar w:fldCharType="end"/>
      </w:r>
    </w:p>
    <w:p w14:paraId="40485A1A">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"_Toc237987612" </w:instrText>
      </w:r>
      <w:r>
        <w:fldChar w:fldCharType="separate"/>
      </w:r>
      <w:r>
        <w:rPr>
          <w:rStyle w:val="31"/>
          <w:rFonts w:hint="eastAsia" w:ascii="Arial" w:hAnsi="Arial" w:eastAsia="黑体"/>
          <w:kern w:val="0"/>
        </w:rPr>
        <w:t>二、提升畜禽产业质量和规模效应</w:t>
      </w:r>
      <w:r>
        <w:tab/>
      </w:r>
      <w:r>
        <w:fldChar w:fldCharType="begin"/>
      </w:r>
      <w:r>
        <w:instrText xml:space="preserve"> PAGEREF _Toc237987612 \h </w:instrText>
      </w:r>
      <w:r>
        <w:fldChar w:fldCharType="separate"/>
      </w:r>
      <w:r>
        <w:t>46</w:t>
      </w:r>
      <w:r>
        <w:fldChar w:fldCharType="end"/>
      </w:r>
      <w:r>
        <w:fldChar w:fldCharType="end"/>
      </w:r>
    </w:p>
    <w:p w14:paraId="0FB33761">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"_Toc237987613" </w:instrText>
      </w:r>
      <w:r>
        <w:fldChar w:fldCharType="separate"/>
      </w:r>
      <w:r>
        <w:rPr>
          <w:rStyle w:val="31"/>
          <w:rFonts w:hint="eastAsia"/>
        </w:rPr>
        <w:t>（一）加强畜牧业产业体系建设</w:t>
      </w:r>
      <w:r>
        <w:tab/>
      </w:r>
      <w:r>
        <w:fldChar w:fldCharType="begin"/>
      </w:r>
      <w:r>
        <w:instrText xml:space="preserve"> PAGEREF _Toc237987613 \h </w:instrText>
      </w:r>
      <w:r>
        <w:fldChar w:fldCharType="separate"/>
      </w:r>
      <w:r>
        <w:t>46</w:t>
      </w:r>
      <w:r>
        <w:fldChar w:fldCharType="end"/>
      </w:r>
      <w:r>
        <w:fldChar w:fldCharType="end"/>
      </w:r>
    </w:p>
    <w:p w14:paraId="79221ABE">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"_Toc237987614" </w:instrText>
      </w:r>
      <w:r>
        <w:fldChar w:fldCharType="separate"/>
      </w:r>
      <w:r>
        <w:rPr>
          <w:rStyle w:val="31"/>
          <w:rFonts w:hint="eastAsia"/>
        </w:rPr>
        <w:t>（二）推动畜禽种业自主创新突破</w:t>
      </w:r>
      <w:r>
        <w:tab/>
      </w:r>
      <w:r>
        <w:fldChar w:fldCharType="begin"/>
      </w:r>
      <w:r>
        <w:instrText xml:space="preserve"> PAGEREF _Toc237987614 \h </w:instrText>
      </w:r>
      <w:r>
        <w:fldChar w:fldCharType="separate"/>
      </w:r>
      <w:r>
        <w:t>47</w:t>
      </w:r>
      <w:r>
        <w:fldChar w:fldCharType="end"/>
      </w:r>
      <w:r>
        <w:fldChar w:fldCharType="end"/>
      </w:r>
    </w:p>
    <w:p w14:paraId="6162A119">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"_Toc237987615" </w:instrText>
      </w:r>
      <w:r>
        <w:fldChar w:fldCharType="separate"/>
      </w:r>
      <w:r>
        <w:rPr>
          <w:rStyle w:val="31"/>
          <w:rFonts w:hint="eastAsia"/>
        </w:rPr>
        <w:t>（三）推进产业精准帮扶到户</w:t>
      </w:r>
      <w:r>
        <w:tab/>
      </w:r>
      <w:r>
        <w:fldChar w:fldCharType="begin"/>
      </w:r>
      <w:r>
        <w:instrText xml:space="preserve"> PAGEREF _Toc237987615 \h </w:instrText>
      </w:r>
      <w:r>
        <w:fldChar w:fldCharType="separate"/>
      </w:r>
      <w:r>
        <w:t>49</w:t>
      </w:r>
      <w:r>
        <w:fldChar w:fldCharType="end"/>
      </w:r>
      <w:r>
        <w:fldChar w:fldCharType="end"/>
      </w:r>
    </w:p>
    <w:p w14:paraId="2A241302">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"_Toc237987616" </w:instrText>
      </w:r>
      <w:r>
        <w:fldChar w:fldCharType="separate"/>
      </w:r>
      <w:r>
        <w:rPr>
          <w:rStyle w:val="31"/>
          <w:rFonts w:hint="eastAsia"/>
        </w:rPr>
        <w:t>（四）全面提升动物疫病防控能力</w:t>
      </w:r>
      <w:r>
        <w:tab/>
      </w:r>
      <w:r>
        <w:fldChar w:fldCharType="begin"/>
      </w:r>
      <w:r>
        <w:instrText xml:space="preserve"> PAGEREF _Toc237987616 \h </w:instrText>
      </w:r>
      <w:r>
        <w:fldChar w:fldCharType="separate"/>
      </w:r>
      <w:r>
        <w:t>49</w:t>
      </w:r>
      <w:r>
        <w:fldChar w:fldCharType="end"/>
      </w:r>
      <w:r>
        <w:fldChar w:fldCharType="end"/>
      </w:r>
    </w:p>
    <w:p w14:paraId="02C11093">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"_Toc237987617" </w:instrText>
      </w:r>
      <w:r>
        <w:fldChar w:fldCharType="separate"/>
      </w:r>
      <w:r>
        <w:rPr>
          <w:rStyle w:val="31"/>
          <w:rFonts w:hint="eastAsia"/>
        </w:rPr>
        <w:t>（五）推进畜禽品种改良和畜牧技术推广</w:t>
      </w:r>
      <w:r>
        <w:tab/>
      </w:r>
      <w:r>
        <w:fldChar w:fldCharType="begin"/>
      </w:r>
      <w:r>
        <w:instrText xml:space="preserve"> PAGEREF _Toc237987617 \h </w:instrText>
      </w:r>
      <w:r>
        <w:fldChar w:fldCharType="separate"/>
      </w:r>
      <w:r>
        <w:t>50</w:t>
      </w:r>
      <w:r>
        <w:fldChar w:fldCharType="end"/>
      </w:r>
      <w:r>
        <w:fldChar w:fldCharType="end"/>
      </w:r>
    </w:p>
    <w:p w14:paraId="6C3D0D34">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"_Toc237987618" </w:instrText>
      </w:r>
      <w:r>
        <w:fldChar w:fldCharType="separate"/>
      </w:r>
      <w:r>
        <w:rPr>
          <w:rStyle w:val="31"/>
          <w:rFonts w:hint="eastAsia" w:ascii="Arial" w:hAnsi="Arial" w:eastAsia="黑体"/>
          <w:kern w:val="0"/>
        </w:rPr>
        <w:t>三、大力推进绿色果蔬产业集群发展</w:t>
      </w:r>
      <w:r>
        <w:tab/>
      </w:r>
      <w:r>
        <w:fldChar w:fldCharType="begin"/>
      </w:r>
      <w:r>
        <w:instrText xml:space="preserve"> PAGEREF _Toc237987618 \h </w:instrText>
      </w:r>
      <w:r>
        <w:fldChar w:fldCharType="separate"/>
      </w:r>
      <w:r>
        <w:t>52</w:t>
      </w:r>
      <w:r>
        <w:fldChar w:fldCharType="end"/>
      </w:r>
      <w:r>
        <w:fldChar w:fldCharType="end"/>
      </w:r>
    </w:p>
    <w:p w14:paraId="5237DDE8">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"_Toc237987619" </w:instrText>
      </w:r>
      <w:r>
        <w:fldChar w:fldCharType="separate"/>
      </w:r>
      <w:r>
        <w:rPr>
          <w:rStyle w:val="31"/>
          <w:rFonts w:hint="eastAsia"/>
        </w:rPr>
        <w:t>（一）大力发展戈壁设施农业</w:t>
      </w:r>
      <w:r>
        <w:tab/>
      </w:r>
      <w:r>
        <w:fldChar w:fldCharType="begin"/>
      </w:r>
      <w:r>
        <w:instrText xml:space="preserve"> PAGEREF _Toc237987619 \h </w:instrText>
      </w:r>
      <w:r>
        <w:fldChar w:fldCharType="separate"/>
      </w:r>
      <w:r>
        <w:t>52</w:t>
      </w:r>
      <w:r>
        <w:fldChar w:fldCharType="end"/>
      </w:r>
      <w:r>
        <w:fldChar w:fldCharType="end"/>
      </w:r>
    </w:p>
    <w:p w14:paraId="313B87BF">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"_Toc237987620" </w:instrText>
      </w:r>
      <w:r>
        <w:fldChar w:fldCharType="separate"/>
      </w:r>
      <w:r>
        <w:rPr>
          <w:rStyle w:val="31"/>
          <w:rFonts w:hint="eastAsia"/>
        </w:rPr>
        <w:t>（二）重点扶持发展中药材特色种植产业</w:t>
      </w:r>
      <w:r>
        <w:tab/>
      </w:r>
      <w:r>
        <w:fldChar w:fldCharType="begin"/>
      </w:r>
      <w:r>
        <w:instrText xml:space="preserve"> PAGEREF _Toc237987620 \h </w:instrText>
      </w:r>
      <w:r>
        <w:fldChar w:fldCharType="separate"/>
      </w:r>
      <w:r>
        <w:t>53</w:t>
      </w:r>
      <w:r>
        <w:fldChar w:fldCharType="end"/>
      </w:r>
      <w:r>
        <w:fldChar w:fldCharType="end"/>
      </w:r>
    </w:p>
    <w:p w14:paraId="11CA2A63">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"_Toc237987621" </w:instrText>
      </w:r>
      <w:r>
        <w:fldChar w:fldCharType="separate"/>
      </w:r>
      <w:r>
        <w:rPr>
          <w:rStyle w:val="31"/>
          <w:rFonts w:hint="eastAsia"/>
        </w:rPr>
        <w:t>（三）促进数字技术与现代农业全面融合</w:t>
      </w:r>
      <w:r>
        <w:tab/>
      </w:r>
      <w:r>
        <w:fldChar w:fldCharType="begin"/>
      </w:r>
      <w:r>
        <w:instrText xml:space="preserve"> PAGEREF _Toc237987621 \h </w:instrText>
      </w:r>
      <w:r>
        <w:fldChar w:fldCharType="separate"/>
      </w:r>
      <w:r>
        <w:t>53</w:t>
      </w:r>
      <w:r>
        <w:fldChar w:fldCharType="end"/>
      </w:r>
      <w:r>
        <w:fldChar w:fldCharType="end"/>
      </w:r>
    </w:p>
    <w:p w14:paraId="25290A37">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"_Toc237987622" </w:instrText>
      </w:r>
      <w:r>
        <w:fldChar w:fldCharType="separate"/>
      </w:r>
      <w:r>
        <w:rPr>
          <w:rStyle w:val="31"/>
          <w:rFonts w:hint="eastAsia" w:ascii="Arial" w:hAnsi="Arial" w:eastAsia="黑体"/>
          <w:kern w:val="0"/>
        </w:rPr>
        <w:t>四、加大农产品规模化经营加工能力建设</w:t>
      </w:r>
      <w:r>
        <w:tab/>
      </w:r>
      <w:r>
        <w:fldChar w:fldCharType="begin"/>
      </w:r>
      <w:r>
        <w:instrText xml:space="preserve"> PAGEREF _Toc237987622 \h </w:instrText>
      </w:r>
      <w:r>
        <w:fldChar w:fldCharType="separate"/>
      </w:r>
      <w:r>
        <w:t>54</w:t>
      </w:r>
      <w:r>
        <w:fldChar w:fldCharType="end"/>
      </w:r>
      <w:r>
        <w:fldChar w:fldCharType="end"/>
      </w:r>
    </w:p>
    <w:p w14:paraId="2974E793">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"_Toc237987623" </w:instrText>
      </w:r>
      <w:r>
        <w:fldChar w:fldCharType="separate"/>
      </w:r>
      <w:r>
        <w:rPr>
          <w:rStyle w:val="31"/>
          <w:rFonts w:hint="eastAsia"/>
        </w:rPr>
        <w:t>（一）加强园区基础设施建设</w:t>
      </w:r>
      <w:r>
        <w:tab/>
      </w:r>
      <w:r>
        <w:fldChar w:fldCharType="begin"/>
      </w:r>
      <w:r>
        <w:instrText xml:space="preserve"> PAGEREF _Toc237987623 \h </w:instrText>
      </w:r>
      <w:r>
        <w:fldChar w:fldCharType="separate"/>
      </w:r>
      <w:r>
        <w:t>54</w:t>
      </w:r>
      <w:r>
        <w:fldChar w:fldCharType="end"/>
      </w:r>
      <w:r>
        <w:fldChar w:fldCharType="end"/>
      </w:r>
    </w:p>
    <w:p w14:paraId="3EEBE3C8">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"_Toc237987624" </w:instrText>
      </w:r>
      <w:r>
        <w:fldChar w:fldCharType="separate"/>
      </w:r>
      <w:r>
        <w:rPr>
          <w:rStyle w:val="31"/>
          <w:rFonts w:hint="eastAsia"/>
        </w:rPr>
        <w:t>（二）培育农业产业化集群</w:t>
      </w:r>
      <w:r>
        <w:tab/>
      </w:r>
      <w:r>
        <w:fldChar w:fldCharType="begin"/>
      </w:r>
      <w:r>
        <w:instrText xml:space="preserve"> PAGEREF _Toc237987624 \h </w:instrText>
      </w:r>
      <w:r>
        <w:fldChar w:fldCharType="separate"/>
      </w:r>
      <w:r>
        <w:t>54</w:t>
      </w:r>
      <w:r>
        <w:fldChar w:fldCharType="end"/>
      </w:r>
      <w:r>
        <w:fldChar w:fldCharType="end"/>
      </w:r>
    </w:p>
    <w:p w14:paraId="676ED476">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"_Toc237987625" </w:instrText>
      </w:r>
      <w:r>
        <w:fldChar w:fldCharType="separate"/>
      </w:r>
      <w:r>
        <w:rPr>
          <w:rStyle w:val="31"/>
          <w:rFonts w:hint="eastAsia"/>
        </w:rPr>
        <w:t>（三）加大产业集群和品牌创建</w:t>
      </w:r>
      <w:r>
        <w:tab/>
      </w:r>
      <w:r>
        <w:fldChar w:fldCharType="begin"/>
      </w:r>
      <w:r>
        <w:instrText xml:space="preserve"> PAGEREF _Toc237987625 \h </w:instrText>
      </w:r>
      <w:r>
        <w:fldChar w:fldCharType="separate"/>
      </w:r>
      <w:r>
        <w:t>55</w:t>
      </w:r>
      <w:r>
        <w:fldChar w:fldCharType="end"/>
      </w:r>
      <w:r>
        <w:fldChar w:fldCharType="end"/>
      </w:r>
    </w:p>
    <w:p w14:paraId="088C6062">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"_Toc237987626" </w:instrText>
      </w:r>
      <w:r>
        <w:fldChar w:fldCharType="separate"/>
      </w:r>
      <w:r>
        <w:rPr>
          <w:rStyle w:val="31"/>
          <w:rFonts w:hint="eastAsia"/>
        </w:rPr>
        <w:t>（四）加大招商引资力度</w:t>
      </w:r>
      <w:r>
        <w:tab/>
      </w:r>
      <w:r>
        <w:fldChar w:fldCharType="begin"/>
      </w:r>
      <w:r>
        <w:instrText xml:space="preserve"> PAGEREF _Toc237987626 \h </w:instrText>
      </w:r>
      <w:r>
        <w:fldChar w:fldCharType="separate"/>
      </w:r>
      <w:r>
        <w:t>57</w:t>
      </w:r>
      <w:r>
        <w:fldChar w:fldCharType="end"/>
      </w:r>
      <w:r>
        <w:fldChar w:fldCharType="end"/>
      </w:r>
    </w:p>
    <w:p w14:paraId="081E9E3E">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"_Toc237987627" </w:instrText>
      </w:r>
      <w:r>
        <w:fldChar w:fldCharType="separate"/>
      </w:r>
      <w:r>
        <w:rPr>
          <w:rStyle w:val="31"/>
          <w:rFonts w:hint="eastAsia" w:ascii="Arial" w:hAnsi="Arial" w:eastAsia="黑体"/>
          <w:kern w:val="0"/>
        </w:rPr>
        <w:t>五、加快推进农业现代化</w:t>
      </w:r>
      <w:r>
        <w:tab/>
      </w:r>
      <w:r>
        <w:fldChar w:fldCharType="begin"/>
      </w:r>
      <w:r>
        <w:instrText xml:space="preserve"> PAGEREF _Toc237987627 \h </w:instrText>
      </w:r>
      <w:r>
        <w:fldChar w:fldCharType="separate"/>
      </w:r>
      <w:r>
        <w:t>58</w:t>
      </w:r>
      <w:r>
        <w:fldChar w:fldCharType="end"/>
      </w:r>
      <w:r>
        <w:fldChar w:fldCharType="end"/>
      </w:r>
    </w:p>
    <w:p w14:paraId="6D710B00">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"_Toc237987628" </w:instrText>
      </w:r>
      <w:r>
        <w:fldChar w:fldCharType="separate"/>
      </w:r>
      <w:r>
        <w:rPr>
          <w:rStyle w:val="31"/>
          <w:rFonts w:hint="eastAsia" w:ascii="Arial" w:hAnsi="Arial" w:eastAsia="黑体"/>
          <w:kern w:val="0"/>
        </w:rPr>
        <w:t>六、高质量推进建设宜居宜业和美乡村</w:t>
      </w:r>
      <w:r>
        <w:tab/>
      </w:r>
      <w:r>
        <w:fldChar w:fldCharType="begin"/>
      </w:r>
      <w:r>
        <w:instrText xml:space="preserve"> PAGEREF _Toc237987628 \h </w:instrText>
      </w:r>
      <w:r>
        <w:fldChar w:fldCharType="separate"/>
      </w:r>
      <w:r>
        <w:t>59</w:t>
      </w:r>
      <w:r>
        <w:fldChar w:fldCharType="end"/>
      </w:r>
      <w:r>
        <w:fldChar w:fldCharType="end"/>
      </w:r>
    </w:p>
    <w:p w14:paraId="00C0EF1E">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"_Toc237987629" </w:instrText>
      </w:r>
      <w:r>
        <w:fldChar w:fldCharType="separate"/>
      </w:r>
      <w:r>
        <w:rPr>
          <w:rStyle w:val="31"/>
          <w:rFonts w:hint="eastAsia" w:ascii="Arial" w:hAnsi="Arial" w:eastAsia="黑体"/>
          <w:kern w:val="0"/>
        </w:rPr>
        <w:t>七、积极推动城乡融合发展</w:t>
      </w:r>
      <w:r>
        <w:tab/>
      </w:r>
      <w:r>
        <w:fldChar w:fldCharType="begin"/>
      </w:r>
      <w:r>
        <w:instrText xml:space="preserve"> PAGEREF _Toc237987629 \h </w:instrText>
      </w:r>
      <w:r>
        <w:fldChar w:fldCharType="separate"/>
      </w:r>
      <w:r>
        <w:t>60</w:t>
      </w:r>
      <w:r>
        <w:fldChar w:fldCharType="end"/>
      </w:r>
      <w:r>
        <w:fldChar w:fldCharType="end"/>
      </w:r>
    </w:p>
    <w:p w14:paraId="75A92452">
      <w:pPr>
        <w:pStyle w:val="17"/>
        <w:tabs>
          <w:tab w:val="right" w:leader="dot" w:pos="8720"/>
        </w:tabs>
        <w:rPr>
          <w:rFonts w:asciiTheme="minorHAnsi" w:hAnsiTheme="minorHAnsi" w:eastAsiaTheme="minorEastAsia" w:cstheme="minorBidi"/>
          <w:sz w:val="21"/>
          <w:szCs w:val="22"/>
        </w:rPr>
      </w:pPr>
      <w:r>
        <w:fldChar w:fldCharType="begin"/>
      </w:r>
      <w:r>
        <w:instrText xml:space="preserve"> HYPERLINK \l "_Toc237987630" </w:instrText>
      </w:r>
      <w:r>
        <w:fldChar w:fldCharType="separate"/>
      </w:r>
      <w:r>
        <w:rPr>
          <w:rStyle w:val="31"/>
          <w:rFonts w:hint="eastAsia" w:eastAsia="宋体"/>
          <w:b/>
        </w:rPr>
        <w:t>第五章</w:t>
      </w:r>
      <w:r>
        <w:rPr>
          <w:rStyle w:val="31"/>
          <w:rFonts w:eastAsia="宋体"/>
          <w:b/>
        </w:rPr>
        <w:t xml:space="preserve"> </w:t>
      </w:r>
      <w:r>
        <w:rPr>
          <w:rStyle w:val="31"/>
          <w:rFonts w:hint="eastAsia" w:eastAsia="宋体"/>
          <w:b/>
        </w:rPr>
        <w:t>重大工程和项目</w:t>
      </w:r>
      <w:r>
        <w:tab/>
      </w:r>
      <w:r>
        <w:fldChar w:fldCharType="begin"/>
      </w:r>
      <w:r>
        <w:instrText xml:space="preserve"> PAGEREF _Toc237987630 \h </w:instrText>
      </w:r>
      <w:r>
        <w:fldChar w:fldCharType="separate"/>
      </w:r>
      <w:r>
        <w:t>63</w:t>
      </w:r>
      <w:r>
        <w:fldChar w:fldCharType="end"/>
      </w:r>
      <w:r>
        <w:fldChar w:fldCharType="end"/>
      </w:r>
    </w:p>
    <w:p w14:paraId="040C8D59">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"_Toc237987631" </w:instrText>
      </w:r>
      <w:r>
        <w:fldChar w:fldCharType="separate"/>
      </w:r>
      <w:r>
        <w:rPr>
          <w:rStyle w:val="31"/>
          <w:rFonts w:hint="eastAsia" w:ascii="Arial" w:hAnsi="Arial" w:eastAsia="黑体"/>
          <w:kern w:val="0"/>
        </w:rPr>
        <w:t>一、粮油产业类</w:t>
      </w:r>
      <w:r>
        <w:tab/>
      </w:r>
      <w:r>
        <w:fldChar w:fldCharType="begin"/>
      </w:r>
      <w:r>
        <w:instrText xml:space="preserve"> PAGEREF _Toc237987631 \h </w:instrText>
      </w:r>
      <w:r>
        <w:fldChar w:fldCharType="separate"/>
      </w:r>
      <w:r>
        <w:t>63</w:t>
      </w:r>
      <w:r>
        <w:fldChar w:fldCharType="end"/>
      </w:r>
      <w:r>
        <w:fldChar w:fldCharType="end"/>
      </w:r>
    </w:p>
    <w:p w14:paraId="1D8B3F26">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"_Toc237987632" </w:instrText>
      </w:r>
      <w:r>
        <w:fldChar w:fldCharType="separate"/>
      </w:r>
      <w:r>
        <w:rPr>
          <w:rStyle w:val="31"/>
          <w:rFonts w:hint="eastAsia"/>
        </w:rPr>
        <w:t>（一）种植业补贴类</w:t>
      </w:r>
      <w:r>
        <w:tab/>
      </w:r>
      <w:r>
        <w:fldChar w:fldCharType="begin"/>
      </w:r>
      <w:r>
        <w:instrText xml:space="preserve"> PAGEREF _Toc237987632 \h </w:instrText>
      </w:r>
      <w:r>
        <w:fldChar w:fldCharType="separate"/>
      </w:r>
      <w:r>
        <w:t>63</w:t>
      </w:r>
      <w:r>
        <w:fldChar w:fldCharType="end"/>
      </w:r>
      <w:r>
        <w:fldChar w:fldCharType="end"/>
      </w:r>
    </w:p>
    <w:p w14:paraId="30F8C057">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"_Toc237987633" </w:instrText>
      </w:r>
      <w:r>
        <w:fldChar w:fldCharType="separate"/>
      </w:r>
      <w:r>
        <w:rPr>
          <w:rStyle w:val="31"/>
          <w:rFonts w:hint="eastAsia"/>
        </w:rPr>
        <w:t>（二）种植技术提升类</w:t>
      </w:r>
      <w:r>
        <w:tab/>
      </w:r>
      <w:r>
        <w:fldChar w:fldCharType="begin"/>
      </w:r>
      <w:r>
        <w:instrText xml:space="preserve"> PAGEREF _Toc237987633 \h </w:instrText>
      </w:r>
      <w:r>
        <w:fldChar w:fldCharType="separate"/>
      </w:r>
      <w:r>
        <w:t>64</w:t>
      </w:r>
      <w:r>
        <w:fldChar w:fldCharType="end"/>
      </w:r>
      <w:r>
        <w:fldChar w:fldCharType="end"/>
      </w:r>
    </w:p>
    <w:p w14:paraId="62D56610">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"_Toc237987634" </w:instrText>
      </w:r>
      <w:r>
        <w:fldChar w:fldCharType="separate"/>
      </w:r>
      <w:r>
        <w:rPr>
          <w:rStyle w:val="31"/>
          <w:rFonts w:hint="eastAsia"/>
        </w:rPr>
        <w:t>（三）农机服务类</w:t>
      </w:r>
      <w:r>
        <w:tab/>
      </w:r>
      <w:r>
        <w:fldChar w:fldCharType="begin"/>
      </w:r>
      <w:r>
        <w:instrText xml:space="preserve"> PAGEREF _Toc237987634 \h </w:instrText>
      </w:r>
      <w:r>
        <w:fldChar w:fldCharType="separate"/>
      </w:r>
      <w:r>
        <w:t>65</w:t>
      </w:r>
      <w:r>
        <w:fldChar w:fldCharType="end"/>
      </w:r>
      <w:r>
        <w:fldChar w:fldCharType="end"/>
      </w:r>
    </w:p>
    <w:p w14:paraId="27E641BA">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"_Toc237987635" </w:instrText>
      </w:r>
      <w:r>
        <w:fldChar w:fldCharType="separate"/>
      </w:r>
      <w:r>
        <w:rPr>
          <w:rStyle w:val="31"/>
          <w:rFonts w:hint="eastAsia"/>
        </w:rPr>
        <w:t>（四）数字技术智慧农业及农业品牌培育类</w:t>
      </w:r>
      <w:r>
        <w:tab/>
      </w:r>
      <w:r>
        <w:fldChar w:fldCharType="begin"/>
      </w:r>
      <w:r>
        <w:instrText xml:space="preserve"> PAGEREF _Toc237987635 \h </w:instrText>
      </w:r>
      <w:r>
        <w:fldChar w:fldCharType="separate"/>
      </w:r>
      <w:r>
        <w:t>66</w:t>
      </w:r>
      <w:r>
        <w:fldChar w:fldCharType="end"/>
      </w:r>
      <w:r>
        <w:fldChar w:fldCharType="end"/>
      </w:r>
    </w:p>
    <w:p w14:paraId="25E7FF8A">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"_Toc237987636" </w:instrText>
      </w:r>
      <w:r>
        <w:fldChar w:fldCharType="separate"/>
      </w:r>
      <w:r>
        <w:rPr>
          <w:rStyle w:val="31"/>
          <w:rFonts w:hint="eastAsia"/>
        </w:rPr>
        <w:t>（五）农作物现代提升工程类</w:t>
      </w:r>
      <w:r>
        <w:tab/>
      </w:r>
      <w:r>
        <w:fldChar w:fldCharType="begin"/>
      </w:r>
      <w:r>
        <w:instrText xml:space="preserve"> PAGEREF _Toc237987636 \h </w:instrText>
      </w:r>
      <w:r>
        <w:fldChar w:fldCharType="separate"/>
      </w:r>
      <w:r>
        <w:t>68</w:t>
      </w:r>
      <w:r>
        <w:fldChar w:fldCharType="end"/>
      </w:r>
      <w:r>
        <w:fldChar w:fldCharType="end"/>
      </w:r>
    </w:p>
    <w:p w14:paraId="66BFF3CD">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"_Toc237987637" </w:instrText>
      </w:r>
      <w:r>
        <w:fldChar w:fldCharType="separate"/>
      </w:r>
      <w:r>
        <w:rPr>
          <w:rStyle w:val="31"/>
          <w:rFonts w:hint="eastAsia" w:ascii="Arial" w:hAnsi="Arial" w:eastAsia="黑体"/>
          <w:kern w:val="0"/>
        </w:rPr>
        <w:t>二、畜牧产业类</w:t>
      </w:r>
      <w:r>
        <w:tab/>
      </w:r>
      <w:r>
        <w:fldChar w:fldCharType="begin"/>
      </w:r>
      <w:r>
        <w:instrText xml:space="preserve"> PAGEREF _Toc237987637 \h </w:instrText>
      </w:r>
      <w:r>
        <w:fldChar w:fldCharType="separate"/>
      </w:r>
      <w:r>
        <w:t>68</w:t>
      </w:r>
      <w:r>
        <w:fldChar w:fldCharType="end"/>
      </w:r>
      <w:r>
        <w:fldChar w:fldCharType="end"/>
      </w:r>
    </w:p>
    <w:p w14:paraId="69C62F0C">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"_Toc237987638" </w:instrText>
      </w:r>
      <w:r>
        <w:fldChar w:fldCharType="separate"/>
      </w:r>
      <w:r>
        <w:rPr>
          <w:rStyle w:val="31"/>
          <w:rFonts w:hint="eastAsia"/>
        </w:rPr>
        <w:t>（一）畜牧业扩产能类</w:t>
      </w:r>
      <w:r>
        <w:tab/>
      </w:r>
      <w:r>
        <w:fldChar w:fldCharType="begin"/>
      </w:r>
      <w:r>
        <w:instrText xml:space="preserve"> PAGEREF _Toc237987638 \h </w:instrText>
      </w:r>
      <w:r>
        <w:fldChar w:fldCharType="separate"/>
      </w:r>
      <w:r>
        <w:t>68</w:t>
      </w:r>
      <w:r>
        <w:fldChar w:fldCharType="end"/>
      </w:r>
      <w:r>
        <w:fldChar w:fldCharType="end"/>
      </w:r>
    </w:p>
    <w:p w14:paraId="3B894D49">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"_Toc237987639" </w:instrText>
      </w:r>
      <w:r>
        <w:fldChar w:fldCharType="separate"/>
      </w:r>
      <w:r>
        <w:rPr>
          <w:rStyle w:val="31"/>
          <w:rFonts w:hint="eastAsia"/>
        </w:rPr>
        <w:t>（二）畜牧业优品种类</w:t>
      </w:r>
      <w:r>
        <w:tab/>
      </w:r>
      <w:r>
        <w:fldChar w:fldCharType="begin"/>
      </w:r>
      <w:r>
        <w:instrText xml:space="preserve"> PAGEREF _Toc237987639 \h </w:instrText>
      </w:r>
      <w:r>
        <w:fldChar w:fldCharType="separate"/>
      </w:r>
      <w:r>
        <w:t>69</w:t>
      </w:r>
      <w:r>
        <w:fldChar w:fldCharType="end"/>
      </w:r>
      <w:r>
        <w:fldChar w:fldCharType="end"/>
      </w:r>
    </w:p>
    <w:p w14:paraId="77FF5914">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"_Toc237987640" </w:instrText>
      </w:r>
      <w:r>
        <w:fldChar w:fldCharType="separate"/>
      </w:r>
      <w:r>
        <w:rPr>
          <w:rStyle w:val="31"/>
          <w:rFonts w:hint="eastAsia"/>
        </w:rPr>
        <w:t>（三）畜牧业防疫病类</w:t>
      </w:r>
      <w:r>
        <w:tab/>
      </w:r>
      <w:r>
        <w:fldChar w:fldCharType="begin"/>
      </w:r>
      <w:r>
        <w:instrText xml:space="preserve"> PAGEREF _Toc237987640 \h </w:instrText>
      </w:r>
      <w:r>
        <w:fldChar w:fldCharType="separate"/>
      </w:r>
      <w:r>
        <w:t>70</w:t>
      </w:r>
      <w:r>
        <w:fldChar w:fldCharType="end"/>
      </w:r>
      <w:r>
        <w:fldChar w:fldCharType="end"/>
      </w:r>
    </w:p>
    <w:p w14:paraId="30F4C56E">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"_Toc237987641" </w:instrText>
      </w:r>
      <w:r>
        <w:fldChar w:fldCharType="separate"/>
      </w:r>
      <w:r>
        <w:rPr>
          <w:rStyle w:val="31"/>
          <w:rFonts w:hint="eastAsia"/>
        </w:rPr>
        <w:t>（四）畜牧业重饲养类</w:t>
      </w:r>
      <w:r>
        <w:tab/>
      </w:r>
      <w:r>
        <w:fldChar w:fldCharType="begin"/>
      </w:r>
      <w:r>
        <w:instrText xml:space="preserve"> PAGEREF _Toc237987641 \h </w:instrText>
      </w:r>
      <w:r>
        <w:fldChar w:fldCharType="separate"/>
      </w:r>
      <w:r>
        <w:t>71</w:t>
      </w:r>
      <w:r>
        <w:fldChar w:fldCharType="end"/>
      </w:r>
      <w:r>
        <w:fldChar w:fldCharType="end"/>
      </w:r>
    </w:p>
    <w:p w14:paraId="4FEF5C29">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"_Toc237987642" </w:instrText>
      </w:r>
      <w:r>
        <w:fldChar w:fldCharType="separate"/>
      </w:r>
      <w:r>
        <w:rPr>
          <w:rStyle w:val="31"/>
          <w:rFonts w:hint="eastAsia"/>
        </w:rPr>
        <w:t>（五）动物卫生监督能力提升类</w:t>
      </w:r>
      <w:r>
        <w:tab/>
      </w:r>
      <w:r>
        <w:fldChar w:fldCharType="begin"/>
      </w:r>
      <w:r>
        <w:instrText xml:space="preserve"> PAGEREF _Toc237987642 \h </w:instrText>
      </w:r>
      <w:r>
        <w:fldChar w:fldCharType="separate"/>
      </w:r>
      <w:r>
        <w:t>71</w:t>
      </w:r>
      <w:r>
        <w:fldChar w:fldCharType="end"/>
      </w:r>
      <w:r>
        <w:fldChar w:fldCharType="end"/>
      </w:r>
    </w:p>
    <w:p w14:paraId="292DAE99">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"_Toc237987643" </w:instrText>
      </w:r>
      <w:r>
        <w:fldChar w:fldCharType="separate"/>
      </w:r>
      <w:r>
        <w:rPr>
          <w:rStyle w:val="31"/>
          <w:rFonts w:hint="eastAsia" w:ascii="Arial" w:hAnsi="Arial" w:eastAsia="黑体"/>
          <w:kern w:val="0"/>
        </w:rPr>
        <w:t>三、优质绿色果蔬及特色种植类</w:t>
      </w:r>
      <w:r>
        <w:tab/>
      </w:r>
      <w:r>
        <w:fldChar w:fldCharType="begin"/>
      </w:r>
      <w:r>
        <w:instrText xml:space="preserve"> PAGEREF _Toc237987643 \h </w:instrText>
      </w:r>
      <w:r>
        <w:fldChar w:fldCharType="separate"/>
      </w:r>
      <w:r>
        <w:t>72</w:t>
      </w:r>
      <w:r>
        <w:fldChar w:fldCharType="end"/>
      </w:r>
      <w:r>
        <w:fldChar w:fldCharType="end"/>
      </w:r>
    </w:p>
    <w:p w14:paraId="321A6C99">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"_Toc237987644" </w:instrText>
      </w:r>
      <w:r>
        <w:fldChar w:fldCharType="separate"/>
      </w:r>
      <w:r>
        <w:rPr>
          <w:rStyle w:val="31"/>
          <w:rFonts w:hint="eastAsia"/>
        </w:rPr>
        <w:t>（一）设施农业类</w:t>
      </w:r>
      <w:r>
        <w:tab/>
      </w:r>
      <w:r>
        <w:fldChar w:fldCharType="begin"/>
      </w:r>
      <w:r>
        <w:instrText xml:space="preserve"> PAGEREF _Toc237987644 \h </w:instrText>
      </w:r>
      <w:r>
        <w:fldChar w:fldCharType="separate"/>
      </w:r>
      <w:r>
        <w:t>72</w:t>
      </w:r>
      <w:r>
        <w:fldChar w:fldCharType="end"/>
      </w:r>
      <w:r>
        <w:fldChar w:fldCharType="end"/>
      </w:r>
    </w:p>
    <w:p w14:paraId="4200187A">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"_Toc237987645" </w:instrText>
      </w:r>
      <w:r>
        <w:fldChar w:fldCharType="separate"/>
      </w:r>
      <w:r>
        <w:rPr>
          <w:rStyle w:val="31"/>
          <w:rFonts w:hint="eastAsia"/>
        </w:rPr>
        <w:t>（二）特色种植及加工类</w:t>
      </w:r>
      <w:r>
        <w:tab/>
      </w:r>
      <w:r>
        <w:fldChar w:fldCharType="begin"/>
      </w:r>
      <w:r>
        <w:instrText xml:space="preserve"> PAGEREF _Toc237987645 \h </w:instrText>
      </w:r>
      <w:r>
        <w:fldChar w:fldCharType="separate"/>
      </w:r>
      <w:r>
        <w:t>74</w:t>
      </w:r>
      <w:r>
        <w:fldChar w:fldCharType="end"/>
      </w:r>
      <w:r>
        <w:fldChar w:fldCharType="end"/>
      </w:r>
    </w:p>
    <w:p w14:paraId="12AE7657">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"_Toc237987646" </w:instrText>
      </w:r>
      <w:r>
        <w:fldChar w:fldCharType="separate"/>
      </w:r>
      <w:r>
        <w:rPr>
          <w:rStyle w:val="31"/>
          <w:rFonts w:hint="eastAsia"/>
        </w:rPr>
        <w:t>（三）农产品质量安全类</w:t>
      </w:r>
      <w:r>
        <w:tab/>
      </w:r>
      <w:r>
        <w:fldChar w:fldCharType="begin"/>
      </w:r>
      <w:r>
        <w:instrText xml:space="preserve"> PAGEREF _Toc237987646 \h </w:instrText>
      </w:r>
      <w:r>
        <w:fldChar w:fldCharType="separate"/>
      </w:r>
      <w:r>
        <w:t>76</w:t>
      </w:r>
      <w:r>
        <w:fldChar w:fldCharType="end"/>
      </w:r>
      <w:r>
        <w:fldChar w:fldCharType="end"/>
      </w:r>
    </w:p>
    <w:p w14:paraId="52BDF40C">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"_Toc237987647" </w:instrText>
      </w:r>
      <w:r>
        <w:fldChar w:fldCharType="separate"/>
      </w:r>
      <w:r>
        <w:rPr>
          <w:rStyle w:val="31"/>
          <w:rFonts w:hint="eastAsia" w:ascii="Arial" w:hAnsi="Arial" w:eastAsia="黑体"/>
          <w:kern w:val="0"/>
        </w:rPr>
        <w:t>四、巩固拓展脱贫攻坚成果促进乡村振兴类</w:t>
      </w:r>
      <w:r>
        <w:tab/>
      </w:r>
      <w:r>
        <w:fldChar w:fldCharType="begin"/>
      </w:r>
      <w:r>
        <w:instrText xml:space="preserve"> PAGEREF _Toc237987647 \h </w:instrText>
      </w:r>
      <w:r>
        <w:fldChar w:fldCharType="separate"/>
      </w:r>
      <w:r>
        <w:t>77</w:t>
      </w:r>
      <w:r>
        <w:fldChar w:fldCharType="end"/>
      </w:r>
      <w:r>
        <w:fldChar w:fldCharType="end"/>
      </w:r>
    </w:p>
    <w:p w14:paraId="1410F5FD">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"_Toc237987648" </w:instrText>
      </w:r>
      <w:r>
        <w:fldChar w:fldCharType="separate"/>
      </w:r>
      <w:r>
        <w:rPr>
          <w:rStyle w:val="31"/>
          <w:rFonts w:hint="eastAsia"/>
        </w:rPr>
        <w:t>（一）基础设施建设类</w:t>
      </w:r>
      <w:r>
        <w:tab/>
      </w:r>
      <w:r>
        <w:fldChar w:fldCharType="begin"/>
      </w:r>
      <w:r>
        <w:instrText xml:space="preserve"> PAGEREF _Toc237987648 \h </w:instrText>
      </w:r>
      <w:r>
        <w:fldChar w:fldCharType="separate"/>
      </w:r>
      <w:r>
        <w:t>77</w:t>
      </w:r>
      <w:r>
        <w:fldChar w:fldCharType="end"/>
      </w:r>
      <w:r>
        <w:fldChar w:fldCharType="end"/>
      </w:r>
    </w:p>
    <w:p w14:paraId="400204ED">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"_Toc237987649" </w:instrText>
      </w:r>
      <w:r>
        <w:fldChar w:fldCharType="separate"/>
      </w:r>
      <w:r>
        <w:rPr>
          <w:rStyle w:val="31"/>
          <w:rFonts w:hint="eastAsia"/>
        </w:rPr>
        <w:t>（二）品牌及市场建设类</w:t>
      </w:r>
      <w:r>
        <w:tab/>
      </w:r>
      <w:r>
        <w:fldChar w:fldCharType="begin"/>
      </w:r>
      <w:r>
        <w:instrText xml:space="preserve"> PAGEREF _Toc237987649 \h </w:instrText>
      </w:r>
      <w:r>
        <w:fldChar w:fldCharType="separate"/>
      </w:r>
      <w:r>
        <w:t>78</w:t>
      </w:r>
      <w:r>
        <w:fldChar w:fldCharType="end"/>
      </w:r>
      <w:r>
        <w:fldChar w:fldCharType="end"/>
      </w:r>
    </w:p>
    <w:p w14:paraId="14AF106E">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"_Toc237987650" </w:instrText>
      </w:r>
      <w:r>
        <w:fldChar w:fldCharType="separate"/>
      </w:r>
      <w:r>
        <w:rPr>
          <w:rStyle w:val="31"/>
          <w:rFonts w:hint="eastAsia" w:ascii="Arial" w:hAnsi="Arial" w:eastAsia="黑体"/>
          <w:kern w:val="0"/>
        </w:rPr>
        <w:t>五、精深加工类</w:t>
      </w:r>
      <w:r>
        <w:tab/>
      </w:r>
      <w:r>
        <w:fldChar w:fldCharType="begin"/>
      </w:r>
      <w:r>
        <w:instrText xml:space="preserve"> PAGEREF _Toc237987650 \h </w:instrText>
      </w:r>
      <w:r>
        <w:fldChar w:fldCharType="separate"/>
      </w:r>
      <w:r>
        <w:t>79</w:t>
      </w:r>
      <w:r>
        <w:fldChar w:fldCharType="end"/>
      </w:r>
      <w:r>
        <w:fldChar w:fldCharType="end"/>
      </w:r>
    </w:p>
    <w:p w14:paraId="19DEF747">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"_Toc237987651" </w:instrText>
      </w:r>
      <w:r>
        <w:fldChar w:fldCharType="separate"/>
      </w:r>
      <w:r>
        <w:rPr>
          <w:rStyle w:val="31"/>
          <w:rFonts w:hint="eastAsia" w:ascii="Arial" w:hAnsi="Arial" w:eastAsia="黑体"/>
          <w:kern w:val="0"/>
        </w:rPr>
        <w:t>六、农田建设类</w:t>
      </w:r>
      <w:r>
        <w:tab/>
      </w:r>
      <w:r>
        <w:fldChar w:fldCharType="begin"/>
      </w:r>
      <w:r>
        <w:instrText xml:space="preserve"> PAGEREF _Toc237987651 \h </w:instrText>
      </w:r>
      <w:r>
        <w:fldChar w:fldCharType="separate"/>
      </w:r>
      <w:r>
        <w:t>79</w:t>
      </w:r>
      <w:r>
        <w:fldChar w:fldCharType="end"/>
      </w:r>
      <w:r>
        <w:fldChar w:fldCharType="end"/>
      </w:r>
    </w:p>
    <w:p w14:paraId="387986A9">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"_Toc237987652" </w:instrText>
      </w:r>
      <w:r>
        <w:fldChar w:fldCharType="separate"/>
      </w:r>
      <w:r>
        <w:rPr>
          <w:rStyle w:val="31"/>
          <w:rFonts w:hint="eastAsia"/>
        </w:rPr>
        <w:t>（一）高标准农田建设类</w:t>
      </w:r>
      <w:r>
        <w:tab/>
      </w:r>
      <w:r>
        <w:fldChar w:fldCharType="begin"/>
      </w:r>
      <w:r>
        <w:instrText xml:space="preserve"> PAGEREF _Toc237987652 \h </w:instrText>
      </w:r>
      <w:r>
        <w:fldChar w:fldCharType="separate"/>
      </w:r>
      <w:r>
        <w:t>79</w:t>
      </w:r>
      <w:r>
        <w:fldChar w:fldCharType="end"/>
      </w:r>
      <w:r>
        <w:fldChar w:fldCharType="end"/>
      </w:r>
    </w:p>
    <w:p w14:paraId="7B1F87DD">
      <w:pPr>
        <w:pStyle w:val="12"/>
        <w:tabs>
          <w:tab w:val="right" w:leader="dot" w:pos="8720"/>
        </w:tabs>
        <w:ind w:left="1280"/>
        <w:rPr>
          <w:rFonts w:asciiTheme="minorHAnsi" w:hAnsiTheme="minorHAnsi" w:eastAsiaTheme="minorEastAsia" w:cstheme="minorBidi"/>
          <w:szCs w:val="22"/>
        </w:rPr>
      </w:pPr>
      <w:r>
        <w:fldChar w:fldCharType="begin"/>
      </w:r>
      <w:r>
        <w:instrText xml:space="preserve"> HYPERLINK \l "_Toc237987653" </w:instrText>
      </w:r>
      <w:r>
        <w:fldChar w:fldCharType="separate"/>
      </w:r>
      <w:r>
        <w:rPr>
          <w:rStyle w:val="31"/>
          <w:rFonts w:hint="eastAsia"/>
        </w:rPr>
        <w:t>（二）土地碎片化治理类</w:t>
      </w:r>
      <w:r>
        <w:tab/>
      </w:r>
      <w:r>
        <w:fldChar w:fldCharType="begin"/>
      </w:r>
      <w:r>
        <w:instrText xml:space="preserve"> PAGEREF _Toc237987653 \h </w:instrText>
      </w:r>
      <w:r>
        <w:fldChar w:fldCharType="separate"/>
      </w:r>
      <w:r>
        <w:t>79</w:t>
      </w:r>
      <w:r>
        <w:fldChar w:fldCharType="end"/>
      </w:r>
      <w:r>
        <w:fldChar w:fldCharType="end"/>
      </w:r>
    </w:p>
    <w:p w14:paraId="69528C0F">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"_Toc237987654" </w:instrText>
      </w:r>
      <w:r>
        <w:fldChar w:fldCharType="separate"/>
      </w:r>
      <w:r>
        <w:rPr>
          <w:rStyle w:val="31"/>
          <w:rFonts w:hint="eastAsia" w:ascii="Arial" w:hAnsi="Arial" w:eastAsia="黑体"/>
          <w:kern w:val="0"/>
        </w:rPr>
        <w:t>七、盐碱地综合开发利用类</w:t>
      </w:r>
      <w:r>
        <w:tab/>
      </w:r>
      <w:r>
        <w:fldChar w:fldCharType="begin"/>
      </w:r>
      <w:r>
        <w:instrText xml:space="preserve"> PAGEREF _Toc237987654 \h </w:instrText>
      </w:r>
      <w:r>
        <w:fldChar w:fldCharType="separate"/>
      </w:r>
      <w:r>
        <w:t>80</w:t>
      </w:r>
      <w:r>
        <w:fldChar w:fldCharType="end"/>
      </w:r>
      <w:r>
        <w:fldChar w:fldCharType="end"/>
      </w:r>
    </w:p>
    <w:p w14:paraId="44CEF2C2">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"_Toc237987655" </w:instrText>
      </w:r>
      <w:r>
        <w:fldChar w:fldCharType="separate"/>
      </w:r>
      <w:r>
        <w:rPr>
          <w:rStyle w:val="31"/>
          <w:rFonts w:hint="eastAsia" w:ascii="Arial" w:hAnsi="Arial" w:eastAsia="黑体"/>
          <w:kern w:val="0"/>
        </w:rPr>
        <w:t>八、和美乡村建设类</w:t>
      </w:r>
      <w:r>
        <w:tab/>
      </w:r>
      <w:r>
        <w:fldChar w:fldCharType="begin"/>
      </w:r>
      <w:r>
        <w:instrText xml:space="preserve"> PAGEREF _Toc237987655 \h </w:instrText>
      </w:r>
      <w:r>
        <w:fldChar w:fldCharType="separate"/>
      </w:r>
      <w:r>
        <w:t>80</w:t>
      </w:r>
      <w:r>
        <w:fldChar w:fldCharType="end"/>
      </w:r>
      <w:r>
        <w:fldChar w:fldCharType="end"/>
      </w:r>
    </w:p>
    <w:p w14:paraId="3206F217">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"_Toc237987656" </w:instrText>
      </w:r>
      <w:r>
        <w:fldChar w:fldCharType="separate"/>
      </w:r>
      <w:r>
        <w:rPr>
          <w:rStyle w:val="31"/>
          <w:rFonts w:hint="eastAsia" w:ascii="Arial" w:hAnsi="Arial" w:eastAsia="黑体"/>
          <w:kern w:val="0"/>
        </w:rPr>
        <w:t>九、分年度项目建设计划</w:t>
      </w:r>
      <w:r>
        <w:tab/>
      </w:r>
      <w:r>
        <w:fldChar w:fldCharType="begin"/>
      </w:r>
      <w:r>
        <w:instrText xml:space="preserve"> PAGEREF _Toc237987656 \h </w:instrText>
      </w:r>
      <w:r>
        <w:fldChar w:fldCharType="separate"/>
      </w:r>
      <w:r>
        <w:t>81</w:t>
      </w:r>
      <w:r>
        <w:fldChar w:fldCharType="end"/>
      </w:r>
      <w:r>
        <w:fldChar w:fldCharType="end"/>
      </w:r>
    </w:p>
    <w:p w14:paraId="2329C510">
      <w:pPr>
        <w:pStyle w:val="17"/>
        <w:tabs>
          <w:tab w:val="right" w:leader="dot" w:pos="8720"/>
        </w:tabs>
        <w:rPr>
          <w:rFonts w:asciiTheme="minorHAnsi" w:hAnsiTheme="minorHAnsi" w:eastAsiaTheme="minorEastAsia" w:cstheme="minorBidi"/>
          <w:sz w:val="21"/>
          <w:szCs w:val="22"/>
        </w:rPr>
      </w:pPr>
      <w:r>
        <w:fldChar w:fldCharType="begin"/>
      </w:r>
      <w:r>
        <w:instrText xml:space="preserve"> HYPERLINK \l "_Toc237987657" </w:instrText>
      </w:r>
      <w:r>
        <w:fldChar w:fldCharType="separate"/>
      </w:r>
      <w:r>
        <w:rPr>
          <w:rStyle w:val="31"/>
          <w:rFonts w:hint="eastAsia" w:eastAsia="宋体"/>
          <w:b/>
        </w:rPr>
        <w:t>第六章</w:t>
      </w:r>
      <w:r>
        <w:rPr>
          <w:rStyle w:val="31"/>
          <w:rFonts w:eastAsia="宋体"/>
          <w:b/>
        </w:rPr>
        <w:t xml:space="preserve"> </w:t>
      </w:r>
      <w:r>
        <w:rPr>
          <w:rStyle w:val="31"/>
          <w:rFonts w:hint="eastAsia" w:eastAsia="宋体"/>
          <w:b/>
        </w:rPr>
        <w:t>保障措施</w:t>
      </w:r>
      <w:r>
        <w:tab/>
      </w:r>
      <w:r>
        <w:fldChar w:fldCharType="begin"/>
      </w:r>
      <w:r>
        <w:instrText xml:space="preserve"> PAGEREF _Toc237987657 \h </w:instrText>
      </w:r>
      <w:r>
        <w:fldChar w:fldCharType="separate"/>
      </w:r>
      <w:r>
        <w:t>83</w:t>
      </w:r>
      <w:r>
        <w:fldChar w:fldCharType="end"/>
      </w:r>
      <w:r>
        <w:fldChar w:fldCharType="end"/>
      </w:r>
    </w:p>
    <w:p w14:paraId="14534A36">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"_Toc237987658" </w:instrText>
      </w:r>
      <w:r>
        <w:fldChar w:fldCharType="separate"/>
      </w:r>
      <w:r>
        <w:rPr>
          <w:rStyle w:val="31"/>
          <w:rFonts w:hint="eastAsia" w:ascii="Arial" w:hAnsi="Arial" w:eastAsia="黑体"/>
          <w:kern w:val="0"/>
        </w:rPr>
        <w:t>一、加强组织领导</w:t>
      </w:r>
      <w:r>
        <w:tab/>
      </w:r>
      <w:r>
        <w:fldChar w:fldCharType="begin"/>
      </w:r>
      <w:r>
        <w:instrText xml:space="preserve"> PAGEREF _Toc237987658 \h </w:instrText>
      </w:r>
      <w:r>
        <w:fldChar w:fldCharType="separate"/>
      </w:r>
      <w:r>
        <w:t>83</w:t>
      </w:r>
      <w:r>
        <w:fldChar w:fldCharType="end"/>
      </w:r>
      <w:r>
        <w:fldChar w:fldCharType="end"/>
      </w:r>
    </w:p>
    <w:p w14:paraId="7B2ADE2B">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"_Toc237987659" </w:instrText>
      </w:r>
      <w:r>
        <w:fldChar w:fldCharType="separate"/>
      </w:r>
      <w:r>
        <w:rPr>
          <w:rStyle w:val="31"/>
          <w:rFonts w:hint="eastAsia" w:ascii="Arial" w:hAnsi="Arial" w:eastAsia="黑体"/>
          <w:kern w:val="0"/>
        </w:rPr>
        <w:t>二、加大财政金融支持</w:t>
      </w:r>
      <w:r>
        <w:tab/>
      </w:r>
      <w:r>
        <w:fldChar w:fldCharType="begin"/>
      </w:r>
      <w:r>
        <w:instrText xml:space="preserve"> PAGEREF _Toc237987659 \h </w:instrText>
      </w:r>
      <w:r>
        <w:fldChar w:fldCharType="separate"/>
      </w:r>
      <w:r>
        <w:t>83</w:t>
      </w:r>
      <w:r>
        <w:fldChar w:fldCharType="end"/>
      </w:r>
      <w:r>
        <w:fldChar w:fldCharType="end"/>
      </w:r>
    </w:p>
    <w:p w14:paraId="623AE2C2">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"_Toc237987660" </w:instrText>
      </w:r>
      <w:r>
        <w:fldChar w:fldCharType="separate"/>
      </w:r>
      <w:r>
        <w:rPr>
          <w:rStyle w:val="31"/>
          <w:rFonts w:hint="eastAsia" w:ascii="Arial" w:hAnsi="Arial" w:eastAsia="黑体"/>
          <w:kern w:val="0"/>
        </w:rPr>
        <w:t>三、强化科技支撑</w:t>
      </w:r>
      <w:r>
        <w:tab/>
      </w:r>
      <w:r>
        <w:fldChar w:fldCharType="begin"/>
      </w:r>
      <w:r>
        <w:instrText xml:space="preserve"> PAGEREF _Toc237987660 \h </w:instrText>
      </w:r>
      <w:r>
        <w:fldChar w:fldCharType="separate"/>
      </w:r>
      <w:r>
        <w:t>84</w:t>
      </w:r>
      <w:r>
        <w:fldChar w:fldCharType="end"/>
      </w:r>
      <w:r>
        <w:fldChar w:fldCharType="end"/>
      </w:r>
    </w:p>
    <w:p w14:paraId="6D4D7D5A">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"_Toc237987661" </w:instrText>
      </w:r>
      <w:r>
        <w:fldChar w:fldCharType="separate"/>
      </w:r>
      <w:r>
        <w:rPr>
          <w:rStyle w:val="31"/>
          <w:rFonts w:hint="eastAsia" w:ascii="Arial" w:hAnsi="Arial" w:eastAsia="黑体"/>
          <w:kern w:val="0"/>
        </w:rPr>
        <w:t>四、推进</w:t>
      </w:r>
      <w:r>
        <w:rPr>
          <w:rStyle w:val="31"/>
          <w:rFonts w:ascii="Arial" w:hAnsi="Arial" w:eastAsia="黑体"/>
          <w:kern w:val="0"/>
        </w:rPr>
        <w:t>“</w:t>
      </w:r>
      <w:r>
        <w:rPr>
          <w:rStyle w:val="31"/>
          <w:rFonts w:hint="eastAsia" w:ascii="Arial" w:hAnsi="Arial" w:eastAsia="黑体"/>
          <w:kern w:val="0"/>
        </w:rPr>
        <w:t>产购储加销</w:t>
      </w:r>
      <w:r>
        <w:rPr>
          <w:rStyle w:val="31"/>
          <w:rFonts w:ascii="Arial" w:hAnsi="Arial" w:eastAsia="黑体"/>
          <w:kern w:val="0"/>
        </w:rPr>
        <w:t>”</w:t>
      </w:r>
      <w:r>
        <w:rPr>
          <w:rStyle w:val="31"/>
          <w:rFonts w:hint="eastAsia" w:ascii="Arial" w:hAnsi="Arial" w:eastAsia="黑体"/>
          <w:kern w:val="0"/>
        </w:rPr>
        <w:t>协同</w:t>
      </w:r>
      <w:r>
        <w:tab/>
      </w:r>
      <w:r>
        <w:fldChar w:fldCharType="begin"/>
      </w:r>
      <w:r>
        <w:instrText xml:space="preserve"> PAGEREF _Toc237987661 \h </w:instrText>
      </w:r>
      <w:r>
        <w:fldChar w:fldCharType="separate"/>
      </w:r>
      <w:r>
        <w:t>85</w:t>
      </w:r>
      <w:r>
        <w:fldChar w:fldCharType="end"/>
      </w:r>
      <w:r>
        <w:fldChar w:fldCharType="end"/>
      </w:r>
    </w:p>
    <w:p w14:paraId="0B2422CD">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"_Toc237987662" </w:instrText>
      </w:r>
      <w:r>
        <w:fldChar w:fldCharType="separate"/>
      </w:r>
      <w:r>
        <w:rPr>
          <w:rStyle w:val="31"/>
          <w:rFonts w:hint="eastAsia" w:ascii="Arial" w:hAnsi="Arial" w:eastAsia="黑体"/>
          <w:kern w:val="0"/>
        </w:rPr>
        <w:t>五、强化生态保护</w:t>
      </w:r>
      <w:r>
        <w:tab/>
      </w:r>
      <w:r>
        <w:fldChar w:fldCharType="begin"/>
      </w:r>
      <w:r>
        <w:instrText xml:space="preserve"> PAGEREF _Toc237987662 \h </w:instrText>
      </w:r>
      <w:r>
        <w:fldChar w:fldCharType="separate"/>
      </w:r>
      <w:r>
        <w:t>85</w:t>
      </w:r>
      <w:r>
        <w:fldChar w:fldCharType="end"/>
      </w:r>
      <w:r>
        <w:fldChar w:fldCharType="end"/>
      </w:r>
    </w:p>
    <w:p w14:paraId="25255469">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"_Toc237987663" </w:instrText>
      </w:r>
      <w:r>
        <w:fldChar w:fldCharType="separate"/>
      </w:r>
      <w:r>
        <w:rPr>
          <w:rStyle w:val="31"/>
          <w:rFonts w:hint="eastAsia" w:ascii="Arial" w:hAnsi="Arial" w:eastAsia="黑体"/>
          <w:kern w:val="0"/>
        </w:rPr>
        <w:t>六、强化服务保障体系</w:t>
      </w:r>
      <w:r>
        <w:tab/>
      </w:r>
      <w:r>
        <w:fldChar w:fldCharType="begin"/>
      </w:r>
      <w:r>
        <w:instrText xml:space="preserve"> PAGEREF _Toc237987663 \h </w:instrText>
      </w:r>
      <w:r>
        <w:fldChar w:fldCharType="separate"/>
      </w:r>
      <w:r>
        <w:t>86</w:t>
      </w:r>
      <w:r>
        <w:fldChar w:fldCharType="end"/>
      </w:r>
      <w:r>
        <w:fldChar w:fldCharType="end"/>
      </w:r>
    </w:p>
    <w:p w14:paraId="3EE5D20C">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"_Toc237987664" </w:instrText>
      </w:r>
      <w:r>
        <w:fldChar w:fldCharType="separate"/>
      </w:r>
      <w:r>
        <w:rPr>
          <w:rStyle w:val="31"/>
          <w:rFonts w:hint="eastAsia" w:ascii="Arial" w:hAnsi="Arial" w:eastAsia="黑体"/>
          <w:kern w:val="0"/>
        </w:rPr>
        <w:t>七、促进融合发展</w:t>
      </w:r>
      <w:r>
        <w:tab/>
      </w:r>
      <w:r>
        <w:fldChar w:fldCharType="begin"/>
      </w:r>
      <w:r>
        <w:instrText xml:space="preserve"> PAGEREF _Toc237987664 \h </w:instrText>
      </w:r>
      <w:r>
        <w:fldChar w:fldCharType="separate"/>
      </w:r>
      <w:r>
        <w:t>86</w:t>
      </w:r>
      <w:r>
        <w:fldChar w:fldCharType="end"/>
      </w:r>
      <w:r>
        <w:fldChar w:fldCharType="end"/>
      </w:r>
    </w:p>
    <w:p w14:paraId="094CE853">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"_Toc237987665" </w:instrText>
      </w:r>
      <w:r>
        <w:fldChar w:fldCharType="separate"/>
      </w:r>
      <w:r>
        <w:rPr>
          <w:rStyle w:val="31"/>
          <w:rFonts w:hint="eastAsia" w:ascii="Arial" w:hAnsi="Arial" w:eastAsia="黑体"/>
          <w:kern w:val="0"/>
        </w:rPr>
        <w:t>八、促进农村改革和农民增收</w:t>
      </w:r>
      <w:r>
        <w:tab/>
      </w:r>
      <w:r>
        <w:fldChar w:fldCharType="begin"/>
      </w:r>
      <w:r>
        <w:instrText xml:space="preserve"> PAGEREF _Toc237987665 \h </w:instrText>
      </w:r>
      <w:r>
        <w:fldChar w:fldCharType="separate"/>
      </w:r>
      <w:r>
        <w:t>86</w:t>
      </w:r>
      <w:r>
        <w:fldChar w:fldCharType="end"/>
      </w:r>
      <w:r>
        <w:fldChar w:fldCharType="end"/>
      </w:r>
    </w:p>
    <w:p w14:paraId="0F7BEED1">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"_Toc237987666" </w:instrText>
      </w:r>
      <w:r>
        <w:fldChar w:fldCharType="separate"/>
      </w:r>
      <w:r>
        <w:rPr>
          <w:rStyle w:val="31"/>
          <w:rFonts w:hint="eastAsia" w:ascii="Arial" w:hAnsi="Arial" w:eastAsia="黑体"/>
          <w:kern w:val="0"/>
        </w:rPr>
        <w:t>九、强化农业干部队伍建设</w:t>
      </w:r>
      <w:r>
        <w:tab/>
      </w:r>
      <w:r>
        <w:fldChar w:fldCharType="begin"/>
      </w:r>
      <w:r>
        <w:instrText xml:space="preserve"> PAGEREF _Toc237987666 \h </w:instrText>
      </w:r>
      <w:r>
        <w:fldChar w:fldCharType="separate"/>
      </w:r>
      <w:r>
        <w:t>87</w:t>
      </w:r>
      <w:r>
        <w:fldChar w:fldCharType="end"/>
      </w:r>
      <w:r>
        <w:fldChar w:fldCharType="end"/>
      </w:r>
    </w:p>
    <w:p w14:paraId="7CE4A45E">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"_Toc237987667" </w:instrText>
      </w:r>
      <w:r>
        <w:fldChar w:fldCharType="separate"/>
      </w:r>
      <w:r>
        <w:rPr>
          <w:rStyle w:val="31"/>
          <w:rFonts w:hint="eastAsia" w:ascii="Arial" w:hAnsi="Arial" w:eastAsia="黑体"/>
          <w:kern w:val="0"/>
        </w:rPr>
        <w:t>十、加强教育与培训</w:t>
      </w:r>
      <w:r>
        <w:tab/>
      </w:r>
      <w:r>
        <w:fldChar w:fldCharType="begin"/>
      </w:r>
      <w:r>
        <w:instrText xml:space="preserve"> PAGEREF _Toc237987667 \h </w:instrText>
      </w:r>
      <w:r>
        <w:fldChar w:fldCharType="separate"/>
      </w:r>
      <w:r>
        <w:t>88</w:t>
      </w:r>
      <w:r>
        <w:fldChar w:fldCharType="end"/>
      </w:r>
      <w:r>
        <w:fldChar w:fldCharType="end"/>
      </w:r>
    </w:p>
    <w:p w14:paraId="035DBD5E">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"_Toc237987668" </w:instrText>
      </w:r>
      <w:r>
        <w:fldChar w:fldCharType="separate"/>
      </w:r>
      <w:r>
        <w:rPr>
          <w:rStyle w:val="31"/>
          <w:rFonts w:hint="eastAsia" w:ascii="Arial" w:hAnsi="Arial" w:eastAsia="黑体"/>
          <w:kern w:val="0"/>
        </w:rPr>
        <w:t>十一、推进兵地融合发展</w:t>
      </w:r>
      <w:r>
        <w:tab/>
      </w:r>
      <w:r>
        <w:fldChar w:fldCharType="begin"/>
      </w:r>
      <w:r>
        <w:instrText xml:space="preserve"> PAGEREF _Toc237987668 \h </w:instrText>
      </w:r>
      <w:r>
        <w:fldChar w:fldCharType="separate"/>
      </w:r>
      <w:r>
        <w:t>88</w:t>
      </w:r>
      <w:r>
        <w:fldChar w:fldCharType="end"/>
      </w:r>
      <w:r>
        <w:fldChar w:fldCharType="end"/>
      </w:r>
    </w:p>
    <w:p w14:paraId="23E6FD2D">
      <w:pPr>
        <w:pStyle w:val="21"/>
        <w:tabs>
          <w:tab w:val="right" w:leader="dot" w:pos="8720"/>
        </w:tabs>
        <w:ind w:left="640"/>
        <w:rPr>
          <w:rFonts w:asciiTheme="minorHAnsi" w:hAnsiTheme="minorHAnsi" w:eastAsiaTheme="minorEastAsia" w:cstheme="minorBidi"/>
          <w:szCs w:val="22"/>
        </w:rPr>
      </w:pPr>
      <w:r>
        <w:fldChar w:fldCharType="begin"/>
      </w:r>
      <w:r>
        <w:instrText xml:space="preserve"> HYPERLINK \l "_Toc237987669" </w:instrText>
      </w:r>
      <w:r>
        <w:fldChar w:fldCharType="separate"/>
      </w:r>
      <w:r>
        <w:rPr>
          <w:rStyle w:val="31"/>
          <w:rFonts w:hint="eastAsia" w:ascii="Arial" w:hAnsi="Arial" w:eastAsia="黑体"/>
          <w:kern w:val="0"/>
        </w:rPr>
        <w:t>十二、完善规划监督考核机制及公平竞争审查</w:t>
      </w:r>
      <w:r>
        <w:tab/>
      </w:r>
      <w:r>
        <w:fldChar w:fldCharType="begin"/>
      </w:r>
      <w:r>
        <w:instrText xml:space="preserve"> PAGEREF _Toc237987669 \h </w:instrText>
      </w:r>
      <w:r>
        <w:fldChar w:fldCharType="separate"/>
      </w:r>
      <w:r>
        <w:t>88</w:t>
      </w:r>
      <w:r>
        <w:fldChar w:fldCharType="end"/>
      </w:r>
      <w:r>
        <w:fldChar w:fldCharType="end"/>
      </w:r>
    </w:p>
    <w:p w14:paraId="4E5B16A4">
      <w:pPr>
        <w:pStyle w:val="21"/>
        <w:tabs>
          <w:tab w:val="right" w:leader="dot" w:pos="8720"/>
        </w:tabs>
        <w:spacing w:line="500" w:lineRule="exact"/>
        <w:ind w:left="640"/>
        <w:rPr>
          <w:sz w:val="24"/>
        </w:rPr>
      </w:pPr>
      <w:r>
        <w:rPr>
          <w:rFonts w:ascii="宋体" w:hAnsi="宋体"/>
          <w:sz w:val="24"/>
        </w:rPr>
        <w:fldChar w:fldCharType="end"/>
      </w:r>
    </w:p>
    <w:p w14:paraId="7A76319A">
      <w:pPr>
        <w:rPr>
          <w:sz w:val="28"/>
          <w:szCs w:val="28"/>
        </w:rPr>
        <w:sectPr>
          <w:footerReference r:id="rId5" w:type="default"/>
          <w:pgSz w:w="11906" w:h="16838"/>
          <w:pgMar w:top="1985" w:right="1588" w:bottom="1588" w:left="1588" w:header="851" w:footer="1361" w:gutter="0"/>
          <w:pgNumType w:fmt="upperRoman" w:start="1"/>
          <w:cols w:space="720" w:num="1"/>
          <w:docGrid w:type="lines" w:linePitch="312" w:charSpace="0"/>
        </w:sectPr>
      </w:pPr>
    </w:p>
    <w:p w14:paraId="7E130FFD">
      <w:pPr>
        <w:pStyle w:val="2"/>
        <w:widowControl/>
        <w:spacing w:line="600" w:lineRule="exact"/>
        <w:jc w:val="center"/>
        <w:rPr>
          <w:rFonts w:ascii="Times New Roman" w:hAnsi="Times New Roman" w:eastAsia="宋体"/>
          <w:b/>
          <w:sz w:val="32"/>
          <w:szCs w:val="20"/>
        </w:rPr>
      </w:pPr>
      <w:bookmarkStart w:id="0" w:name="_Toc237987564"/>
      <w:bookmarkStart w:id="1" w:name="OLE_LINK6"/>
      <w:bookmarkStart w:id="2" w:name="OLE_LINK5"/>
      <w:r>
        <w:rPr>
          <w:rFonts w:hint="eastAsia" w:ascii="Times New Roman" w:hAnsi="Times New Roman" w:eastAsia="宋体"/>
          <w:b/>
          <w:sz w:val="32"/>
          <w:szCs w:val="20"/>
        </w:rPr>
        <w:t>第一章 “十四五”农业农村发展主要成就</w:t>
      </w:r>
      <w:bookmarkEnd w:id="0"/>
    </w:p>
    <w:bookmarkEnd w:id="1"/>
    <w:bookmarkEnd w:id="2"/>
    <w:p w14:paraId="0E9A4BD4">
      <w:pPr>
        <w:pStyle w:val="3"/>
        <w:widowControl/>
        <w:spacing w:before="0" w:after="0" w:line="600" w:lineRule="exact"/>
        <w:ind w:firstLine="562" w:firstLineChars="200"/>
        <w:rPr>
          <w:rFonts w:ascii="Arial" w:hAnsi="Arial" w:eastAsia="黑体"/>
          <w:bCs w:val="0"/>
          <w:kern w:val="0"/>
          <w:sz w:val="28"/>
          <w:szCs w:val="20"/>
        </w:rPr>
      </w:pPr>
      <w:bookmarkStart w:id="3" w:name="_Toc237987565"/>
      <w:r>
        <w:rPr>
          <w:rFonts w:hint="eastAsia" w:ascii="Arial" w:hAnsi="Arial" w:eastAsia="黑体"/>
          <w:bCs w:val="0"/>
          <w:kern w:val="0"/>
          <w:sz w:val="28"/>
          <w:szCs w:val="20"/>
        </w:rPr>
        <w:t>一、皮山县基本情况</w:t>
      </w:r>
      <w:bookmarkEnd w:id="3"/>
    </w:p>
    <w:p w14:paraId="234C6D99">
      <w:pPr>
        <w:spacing w:line="580" w:lineRule="exact"/>
        <w:ind w:firstLine="560" w:firstLineChars="200"/>
        <w:rPr>
          <w:sz w:val="28"/>
        </w:rPr>
      </w:pPr>
      <w:r>
        <w:rPr>
          <w:rFonts w:hint="eastAsia"/>
          <w:sz w:val="28"/>
        </w:rPr>
        <w:t>皮山县位于新疆维吾尔自治区最南端，喀喇昆仑山北麓，塔克拉玛干沙漠南缘，是一个以维吾尔族为主体，汉族、塔吉克族、柯尔克孜族等多民族聚居的边境县，边境线长58.3公里，境内驻有全军海拔最高的神仙湾哨卡（海拔5380米）。全县总面积3.97万平方公里。下辖7个镇、9个乡、2个街道，195个行政村，26个社区。山区平均海拔2100米以上，平原地带平均海拔1400米。</w:t>
      </w:r>
    </w:p>
    <w:p w14:paraId="131200CA">
      <w:pPr>
        <w:pStyle w:val="3"/>
        <w:widowControl/>
        <w:spacing w:before="0" w:after="0" w:line="600" w:lineRule="exact"/>
        <w:ind w:firstLine="562" w:firstLineChars="200"/>
        <w:rPr>
          <w:rFonts w:ascii="Arial" w:hAnsi="Arial" w:eastAsia="黑体"/>
          <w:bCs w:val="0"/>
          <w:kern w:val="0"/>
          <w:sz w:val="28"/>
          <w:szCs w:val="20"/>
        </w:rPr>
      </w:pPr>
      <w:bookmarkStart w:id="4" w:name="_Toc237987566"/>
      <w:r>
        <w:rPr>
          <w:rFonts w:hint="eastAsia" w:ascii="Arial" w:hAnsi="Arial" w:eastAsia="黑体"/>
          <w:bCs w:val="0"/>
          <w:kern w:val="0"/>
          <w:sz w:val="28"/>
          <w:szCs w:val="20"/>
        </w:rPr>
        <w:t>二、“十四五”时期取得的成就</w:t>
      </w:r>
      <w:bookmarkEnd w:id="4"/>
    </w:p>
    <w:p w14:paraId="79DDFE38">
      <w:pPr>
        <w:spacing w:line="580" w:lineRule="exact"/>
        <w:ind w:firstLine="560" w:firstLineChars="200"/>
        <w:rPr>
          <w:sz w:val="28"/>
        </w:rPr>
      </w:pPr>
      <w:r>
        <w:rPr>
          <w:rFonts w:hint="eastAsia"/>
          <w:sz w:val="28"/>
        </w:rPr>
        <w:t>“十四五”时期，皮山县立足干旱区生态脆弱、资源约束突出的实际，认真贯彻落实习近平总书记关于粮食安全重要指示批示精神，严格落实粮食安全党政同责，锚定“稳面积、提单产、增总产”目标，坚持“藏粮于地、藏粮于技”战略，实施种业振兴行动，集成推广良种良法良技配套技术措施，皮山县粮食面积、总产稳步增长。</w:t>
      </w:r>
    </w:p>
    <w:p w14:paraId="528409C6">
      <w:pPr>
        <w:pStyle w:val="4"/>
        <w:keepLines w:val="0"/>
        <w:topLinePunct/>
        <w:spacing w:before="0" w:after="0" w:line="540" w:lineRule="exact"/>
        <w:ind w:firstLine="632" w:firstLineChars="210"/>
        <w:rPr>
          <w:rFonts w:eastAsia="宋体"/>
          <w:sz w:val="30"/>
          <w:szCs w:val="30"/>
        </w:rPr>
      </w:pPr>
      <w:bookmarkStart w:id="5" w:name="_Toc237987567"/>
      <w:r>
        <w:rPr>
          <w:rFonts w:hint="eastAsia" w:eastAsia="宋体"/>
          <w:sz w:val="30"/>
          <w:szCs w:val="30"/>
        </w:rPr>
        <w:t>（一）保障粮食安全</w:t>
      </w:r>
      <w:bookmarkEnd w:id="5"/>
    </w:p>
    <w:p w14:paraId="64B1113F">
      <w:pPr>
        <w:spacing w:line="580" w:lineRule="exact"/>
        <w:ind w:firstLine="560" w:firstLineChars="200"/>
        <w:rPr>
          <w:sz w:val="28"/>
        </w:rPr>
      </w:pPr>
      <w:r>
        <w:rPr>
          <w:rFonts w:hint="eastAsia"/>
          <w:sz w:val="28"/>
        </w:rPr>
        <w:t>“十四五”期间，皮山县紧扣粮食安全核心目标，针对干旱缺水、盐碱化突出的自然条件，通过高标准农田建设、水利设施升级、科技赋能等综合措施，实现了粮食生产能力稳步提升，为粮食安全提供了坚实支撑。</w:t>
      </w:r>
    </w:p>
    <w:p w14:paraId="18096ECD">
      <w:pPr>
        <w:spacing w:line="580" w:lineRule="exact"/>
        <w:ind w:firstLine="562" w:firstLineChars="200"/>
        <w:rPr>
          <w:b/>
          <w:sz w:val="28"/>
        </w:rPr>
      </w:pPr>
      <w:r>
        <w:rPr>
          <w:rFonts w:hint="eastAsia"/>
          <w:b/>
          <w:sz w:val="28"/>
        </w:rPr>
        <w:t>1、农作物生产稳中有增</w:t>
      </w:r>
    </w:p>
    <w:p w14:paraId="4342D5BB">
      <w:pPr>
        <w:spacing w:line="580" w:lineRule="exact"/>
        <w:ind w:firstLine="560" w:firstLineChars="200"/>
        <w:rPr>
          <w:sz w:val="28"/>
        </w:rPr>
      </w:pPr>
      <w:r>
        <w:rPr>
          <w:rFonts w:hint="eastAsia"/>
          <w:sz w:val="28"/>
        </w:rPr>
        <w:t>2025年，全县农作物播种面积67.53万亩，粮食种植面积37.79万亩，全年粮食产量15.67万吨，其中，夏粮产量7.07万吨，秋粮产量8.60万吨。</w:t>
      </w:r>
    </w:p>
    <w:p w14:paraId="46F2E376">
      <w:pPr>
        <w:spacing w:line="580" w:lineRule="exact"/>
        <w:jc w:val="center"/>
        <w:rPr>
          <w:b/>
          <w:sz w:val="28"/>
        </w:rPr>
      </w:pPr>
      <w:r>
        <w:rPr>
          <w:rFonts w:hint="eastAsia"/>
          <w:b/>
          <w:sz w:val="28"/>
        </w:rPr>
        <w:t>表1-1皮山县202</w:t>
      </w:r>
      <w:r>
        <w:rPr>
          <w:b/>
          <w:sz w:val="28"/>
        </w:rPr>
        <w:t>5</w:t>
      </w:r>
      <w:r>
        <w:rPr>
          <w:rFonts w:hint="eastAsia"/>
          <w:b/>
          <w:sz w:val="28"/>
        </w:rPr>
        <w:t>年农作物种植统计表（万亩）</w:t>
      </w:r>
    </w:p>
    <w:tbl>
      <w:tblPr>
        <w:tblStyle w:val="25"/>
        <w:tblW w:w="8020" w:type="dxa"/>
        <w:jc w:val="center"/>
        <w:tblLayout w:type="fixed"/>
        <w:tblCellMar>
          <w:top w:w="0" w:type="dxa"/>
          <w:left w:w="108" w:type="dxa"/>
          <w:bottom w:w="0" w:type="dxa"/>
          <w:right w:w="108" w:type="dxa"/>
        </w:tblCellMar>
      </w:tblPr>
      <w:tblGrid>
        <w:gridCol w:w="669"/>
        <w:gridCol w:w="1296"/>
        <w:gridCol w:w="835"/>
        <w:gridCol w:w="904"/>
        <w:gridCol w:w="776"/>
        <w:gridCol w:w="979"/>
        <w:gridCol w:w="838"/>
        <w:gridCol w:w="797"/>
        <w:gridCol w:w="926"/>
      </w:tblGrid>
      <w:tr w14:paraId="436D097F">
        <w:tblPrEx>
          <w:tblCellMar>
            <w:top w:w="0" w:type="dxa"/>
            <w:left w:w="108" w:type="dxa"/>
            <w:bottom w:w="0" w:type="dxa"/>
            <w:right w:w="108" w:type="dxa"/>
          </w:tblCellMar>
        </w:tblPrEx>
        <w:trPr>
          <w:trHeight w:val="1167" w:hRule="atLeast"/>
          <w:jc w:val="center"/>
        </w:trPr>
        <w:tc>
          <w:tcPr>
            <w:tcW w:w="669" w:type="dxa"/>
            <w:tcBorders>
              <w:top w:val="single" w:color="auto" w:sz="4" w:space="0"/>
              <w:left w:val="single" w:color="auto" w:sz="4" w:space="0"/>
              <w:bottom w:val="single" w:color="000000" w:sz="4" w:space="0"/>
              <w:right w:val="single" w:color="auto" w:sz="4" w:space="0"/>
            </w:tcBorders>
            <w:noWrap/>
            <w:vAlign w:val="center"/>
          </w:tcPr>
          <w:p w14:paraId="484A54B9">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1296" w:type="dxa"/>
            <w:tcBorders>
              <w:top w:val="single" w:color="auto" w:sz="4" w:space="0"/>
              <w:left w:val="single" w:color="auto" w:sz="4" w:space="0"/>
              <w:bottom w:val="single" w:color="auto" w:sz="4" w:space="0"/>
              <w:right w:val="single" w:color="auto" w:sz="4" w:space="0"/>
            </w:tcBorders>
            <w:noWrap/>
            <w:vAlign w:val="center"/>
          </w:tcPr>
          <w:p w14:paraId="48AA53BD">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乡镇</w:t>
            </w:r>
          </w:p>
        </w:tc>
        <w:tc>
          <w:tcPr>
            <w:tcW w:w="835" w:type="dxa"/>
            <w:tcBorders>
              <w:top w:val="single" w:color="auto" w:sz="4" w:space="0"/>
              <w:left w:val="single" w:color="auto" w:sz="4" w:space="0"/>
              <w:bottom w:val="single" w:color="000000" w:sz="4" w:space="0"/>
              <w:right w:val="single" w:color="auto" w:sz="4" w:space="0"/>
            </w:tcBorders>
            <w:noWrap/>
            <w:vAlign w:val="center"/>
          </w:tcPr>
          <w:p w14:paraId="58DAE0E5">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总合计</w:t>
            </w:r>
          </w:p>
        </w:tc>
        <w:tc>
          <w:tcPr>
            <w:tcW w:w="904" w:type="dxa"/>
            <w:tcBorders>
              <w:top w:val="single" w:color="auto" w:sz="4" w:space="0"/>
              <w:left w:val="single" w:color="auto" w:sz="4" w:space="0"/>
              <w:bottom w:val="single" w:color="auto" w:sz="4" w:space="0"/>
              <w:right w:val="single" w:color="auto" w:sz="4" w:space="0"/>
            </w:tcBorders>
            <w:shd w:val="clear" w:color="000000" w:fill="FFFFFF"/>
            <w:vAlign w:val="center"/>
          </w:tcPr>
          <w:p w14:paraId="7BD38B9F">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冬小麦实际播种面积</w:t>
            </w:r>
          </w:p>
        </w:tc>
        <w:tc>
          <w:tcPr>
            <w:tcW w:w="776" w:type="dxa"/>
            <w:tcBorders>
              <w:top w:val="single" w:color="auto" w:sz="4" w:space="0"/>
              <w:left w:val="single" w:color="auto" w:sz="4" w:space="0"/>
              <w:bottom w:val="single" w:color="auto" w:sz="4" w:space="0"/>
              <w:right w:val="single" w:color="auto" w:sz="4" w:space="0"/>
            </w:tcBorders>
            <w:vAlign w:val="center"/>
          </w:tcPr>
          <w:p w14:paraId="42FD611C">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春小麦实际播种面积</w:t>
            </w:r>
          </w:p>
        </w:tc>
        <w:tc>
          <w:tcPr>
            <w:tcW w:w="979" w:type="dxa"/>
            <w:tcBorders>
              <w:top w:val="single" w:color="auto" w:sz="4" w:space="0"/>
              <w:left w:val="single" w:color="auto" w:sz="4" w:space="0"/>
              <w:bottom w:val="single" w:color="auto" w:sz="4" w:space="0"/>
              <w:right w:val="single" w:color="auto" w:sz="4" w:space="0"/>
            </w:tcBorders>
            <w:shd w:val="clear" w:color="000000" w:fill="FFFFFF"/>
            <w:vAlign w:val="center"/>
          </w:tcPr>
          <w:p w14:paraId="29F17E6B">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正播玉米实际播种面积</w:t>
            </w:r>
          </w:p>
        </w:tc>
        <w:tc>
          <w:tcPr>
            <w:tcW w:w="838" w:type="dxa"/>
            <w:tcBorders>
              <w:top w:val="single" w:color="auto" w:sz="4" w:space="0"/>
              <w:left w:val="single" w:color="auto" w:sz="4" w:space="0"/>
              <w:bottom w:val="single" w:color="auto" w:sz="4" w:space="0"/>
              <w:right w:val="single" w:color="auto" w:sz="4" w:space="0"/>
            </w:tcBorders>
            <w:vAlign w:val="center"/>
          </w:tcPr>
          <w:p w14:paraId="35A7AF43">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豆类</w:t>
            </w:r>
          </w:p>
        </w:tc>
        <w:tc>
          <w:tcPr>
            <w:tcW w:w="797" w:type="dxa"/>
            <w:tcBorders>
              <w:top w:val="single" w:color="auto" w:sz="4" w:space="0"/>
              <w:left w:val="single" w:color="auto" w:sz="4" w:space="0"/>
              <w:bottom w:val="single" w:color="auto" w:sz="4" w:space="0"/>
              <w:right w:val="single" w:color="auto" w:sz="4" w:space="0"/>
            </w:tcBorders>
            <w:vAlign w:val="center"/>
          </w:tcPr>
          <w:p w14:paraId="7D6B5965">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薯类</w:t>
            </w:r>
          </w:p>
        </w:tc>
        <w:tc>
          <w:tcPr>
            <w:tcW w:w="926" w:type="dxa"/>
            <w:tcBorders>
              <w:top w:val="single" w:color="auto" w:sz="4" w:space="0"/>
              <w:left w:val="single" w:color="auto" w:sz="4" w:space="0"/>
              <w:bottom w:val="single" w:color="000000" w:sz="4" w:space="0"/>
              <w:right w:val="single" w:color="auto" w:sz="4" w:space="0"/>
            </w:tcBorders>
            <w:noWrap/>
            <w:vAlign w:val="center"/>
          </w:tcPr>
          <w:p w14:paraId="6D4FC1C5">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油料</w:t>
            </w:r>
          </w:p>
        </w:tc>
      </w:tr>
      <w:tr w14:paraId="1706847D">
        <w:tblPrEx>
          <w:tblCellMar>
            <w:top w:w="0" w:type="dxa"/>
            <w:left w:w="108" w:type="dxa"/>
            <w:bottom w:w="0" w:type="dxa"/>
            <w:right w:w="108" w:type="dxa"/>
          </w:tblCellMar>
        </w:tblPrEx>
        <w:trPr>
          <w:trHeight w:val="480" w:hRule="atLeast"/>
          <w:jc w:val="center"/>
        </w:trPr>
        <w:tc>
          <w:tcPr>
            <w:tcW w:w="1965" w:type="dxa"/>
            <w:gridSpan w:val="2"/>
            <w:tcBorders>
              <w:top w:val="single" w:color="auto" w:sz="4" w:space="0"/>
              <w:left w:val="single" w:color="auto" w:sz="4" w:space="0"/>
              <w:bottom w:val="single" w:color="auto" w:sz="4" w:space="0"/>
              <w:right w:val="single" w:color="000000" w:sz="4" w:space="0"/>
            </w:tcBorders>
            <w:shd w:val="clear" w:color="000000" w:fill="FFFFFF"/>
            <w:noWrap/>
            <w:vAlign w:val="center"/>
          </w:tcPr>
          <w:p w14:paraId="5CDD6338">
            <w:pPr>
              <w:widowControl/>
              <w:jc w:val="center"/>
              <w:rPr>
                <w:rFonts w:ascii="宋体" w:hAnsi="宋体" w:eastAsia="宋体" w:cs="宋体"/>
                <w:kern w:val="0"/>
                <w:sz w:val="18"/>
                <w:szCs w:val="18"/>
              </w:rPr>
            </w:pPr>
            <w:r>
              <w:rPr>
                <w:rFonts w:hint="eastAsia" w:ascii="宋体" w:hAnsi="宋体" w:eastAsia="宋体" w:cs="宋体"/>
                <w:kern w:val="0"/>
                <w:sz w:val="18"/>
                <w:szCs w:val="18"/>
              </w:rPr>
              <w:t>合计</w:t>
            </w:r>
          </w:p>
        </w:tc>
        <w:tc>
          <w:tcPr>
            <w:tcW w:w="835" w:type="dxa"/>
            <w:tcBorders>
              <w:top w:val="single" w:color="auto" w:sz="4" w:space="0"/>
              <w:left w:val="single" w:color="auto" w:sz="4" w:space="0"/>
              <w:bottom w:val="single" w:color="auto" w:sz="4" w:space="0"/>
              <w:right w:val="single" w:color="auto" w:sz="4" w:space="0"/>
            </w:tcBorders>
            <w:noWrap/>
            <w:vAlign w:val="center"/>
          </w:tcPr>
          <w:p w14:paraId="0BCBB87A">
            <w:pPr>
              <w:widowControl/>
              <w:jc w:val="center"/>
              <w:rPr>
                <w:rFonts w:ascii="宋体" w:hAnsi="宋体" w:eastAsia="宋体" w:cs="宋体"/>
                <w:kern w:val="0"/>
                <w:sz w:val="18"/>
                <w:szCs w:val="18"/>
              </w:rPr>
            </w:pPr>
            <w:r>
              <w:rPr>
                <w:rFonts w:hint="eastAsia" w:ascii="宋体" w:hAnsi="宋体" w:eastAsia="宋体" w:cs="宋体"/>
                <w:kern w:val="0"/>
                <w:sz w:val="18"/>
                <w:szCs w:val="18"/>
              </w:rPr>
              <w:t>67.53</w:t>
            </w:r>
          </w:p>
        </w:tc>
        <w:tc>
          <w:tcPr>
            <w:tcW w:w="904" w:type="dxa"/>
            <w:tcBorders>
              <w:top w:val="nil"/>
              <w:left w:val="nil"/>
              <w:bottom w:val="single" w:color="auto" w:sz="4" w:space="0"/>
              <w:right w:val="single" w:color="auto" w:sz="4" w:space="0"/>
            </w:tcBorders>
            <w:shd w:val="clear" w:color="000000" w:fill="FFFFFF"/>
            <w:noWrap/>
            <w:vAlign w:val="center"/>
          </w:tcPr>
          <w:p w14:paraId="240BCF89">
            <w:pPr>
              <w:widowControl/>
              <w:jc w:val="center"/>
              <w:rPr>
                <w:rFonts w:ascii="宋体" w:hAnsi="宋体" w:eastAsia="宋体" w:cs="宋体"/>
                <w:kern w:val="0"/>
                <w:sz w:val="18"/>
                <w:szCs w:val="18"/>
              </w:rPr>
            </w:pPr>
            <w:r>
              <w:rPr>
                <w:rFonts w:hint="eastAsia" w:ascii="宋体" w:hAnsi="宋体" w:eastAsia="宋体" w:cs="宋体"/>
                <w:kern w:val="0"/>
                <w:sz w:val="18"/>
                <w:szCs w:val="18"/>
              </w:rPr>
              <w:t>19.52</w:t>
            </w:r>
          </w:p>
        </w:tc>
        <w:tc>
          <w:tcPr>
            <w:tcW w:w="776" w:type="dxa"/>
            <w:tcBorders>
              <w:top w:val="nil"/>
              <w:left w:val="nil"/>
              <w:bottom w:val="single" w:color="auto" w:sz="4" w:space="0"/>
              <w:right w:val="single" w:color="auto" w:sz="4" w:space="0"/>
            </w:tcBorders>
            <w:shd w:val="clear" w:color="000000" w:fill="FFFFFF"/>
            <w:noWrap/>
            <w:vAlign w:val="center"/>
          </w:tcPr>
          <w:p w14:paraId="346F4274">
            <w:pPr>
              <w:widowControl/>
              <w:jc w:val="center"/>
              <w:rPr>
                <w:rFonts w:ascii="宋体" w:hAnsi="宋体" w:eastAsia="宋体" w:cs="宋体"/>
                <w:kern w:val="0"/>
                <w:sz w:val="18"/>
                <w:szCs w:val="18"/>
              </w:rPr>
            </w:pPr>
            <w:r>
              <w:rPr>
                <w:rFonts w:hint="eastAsia" w:ascii="宋体" w:hAnsi="宋体" w:eastAsia="宋体" w:cs="宋体"/>
                <w:kern w:val="0"/>
                <w:sz w:val="18"/>
                <w:szCs w:val="18"/>
              </w:rPr>
              <w:t>0.1</w:t>
            </w:r>
            <w:r>
              <w:rPr>
                <w:rFonts w:ascii="宋体" w:hAnsi="宋体" w:eastAsia="宋体" w:cs="宋体"/>
                <w:kern w:val="0"/>
                <w:sz w:val="18"/>
                <w:szCs w:val="18"/>
              </w:rPr>
              <w:t>3</w:t>
            </w:r>
          </w:p>
        </w:tc>
        <w:tc>
          <w:tcPr>
            <w:tcW w:w="979" w:type="dxa"/>
            <w:tcBorders>
              <w:top w:val="nil"/>
              <w:left w:val="nil"/>
              <w:bottom w:val="single" w:color="auto" w:sz="4" w:space="0"/>
              <w:right w:val="single" w:color="auto" w:sz="4" w:space="0"/>
            </w:tcBorders>
            <w:shd w:val="clear" w:color="000000" w:fill="FFFFFF"/>
            <w:noWrap/>
            <w:vAlign w:val="center"/>
          </w:tcPr>
          <w:p w14:paraId="16CACF17">
            <w:pPr>
              <w:widowControl/>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6.64</w:t>
            </w:r>
          </w:p>
        </w:tc>
        <w:tc>
          <w:tcPr>
            <w:tcW w:w="838" w:type="dxa"/>
            <w:tcBorders>
              <w:top w:val="single" w:color="auto" w:sz="4" w:space="0"/>
              <w:left w:val="nil"/>
              <w:bottom w:val="single" w:color="auto" w:sz="4" w:space="0"/>
              <w:right w:val="single" w:color="auto" w:sz="4" w:space="0"/>
            </w:tcBorders>
            <w:shd w:val="clear" w:color="000000" w:fill="FFFFFF"/>
            <w:vAlign w:val="center"/>
          </w:tcPr>
          <w:p w14:paraId="4746B3BA">
            <w:pPr>
              <w:widowControl/>
              <w:jc w:val="center"/>
              <w:rPr>
                <w:rFonts w:ascii="宋体" w:hAnsi="宋体" w:eastAsia="宋体" w:cs="宋体"/>
                <w:kern w:val="0"/>
                <w:sz w:val="18"/>
                <w:szCs w:val="18"/>
              </w:rPr>
            </w:pPr>
            <w:r>
              <w:rPr>
                <w:rFonts w:hint="eastAsia" w:ascii="宋体" w:hAnsi="宋体" w:eastAsia="宋体" w:cs="宋体"/>
                <w:kern w:val="0"/>
                <w:sz w:val="18"/>
                <w:szCs w:val="18"/>
              </w:rPr>
              <w:t>0</w:t>
            </w:r>
            <w:r>
              <w:rPr>
                <w:rFonts w:ascii="宋体" w:hAnsi="宋体" w:eastAsia="宋体" w:cs="宋体"/>
                <w:kern w:val="0"/>
                <w:sz w:val="18"/>
                <w:szCs w:val="18"/>
              </w:rPr>
              <w:t>.12</w:t>
            </w:r>
          </w:p>
        </w:tc>
        <w:tc>
          <w:tcPr>
            <w:tcW w:w="797" w:type="dxa"/>
            <w:tcBorders>
              <w:top w:val="single" w:color="auto" w:sz="4" w:space="0"/>
              <w:left w:val="single" w:color="auto" w:sz="4" w:space="0"/>
              <w:bottom w:val="single" w:color="auto" w:sz="4" w:space="0"/>
              <w:right w:val="single" w:color="auto" w:sz="4" w:space="0"/>
            </w:tcBorders>
            <w:shd w:val="clear" w:color="000000" w:fill="FFFFFF"/>
            <w:vAlign w:val="center"/>
          </w:tcPr>
          <w:p w14:paraId="3EF9B3F8">
            <w:pPr>
              <w:widowControl/>
              <w:jc w:val="center"/>
              <w:rPr>
                <w:rFonts w:ascii="宋体" w:hAnsi="宋体" w:eastAsia="宋体" w:cs="宋体"/>
                <w:kern w:val="0"/>
                <w:sz w:val="18"/>
                <w:szCs w:val="18"/>
              </w:rPr>
            </w:pPr>
            <w:r>
              <w:rPr>
                <w:rFonts w:hint="eastAsia" w:ascii="宋体" w:hAnsi="宋体" w:eastAsia="宋体" w:cs="宋体"/>
                <w:kern w:val="0"/>
                <w:sz w:val="18"/>
                <w:szCs w:val="18"/>
              </w:rPr>
              <w:t>0</w:t>
            </w:r>
            <w:r>
              <w:rPr>
                <w:rFonts w:ascii="宋体" w:hAnsi="宋体" w:eastAsia="宋体" w:cs="宋体"/>
                <w:kern w:val="0"/>
                <w:sz w:val="18"/>
                <w:szCs w:val="18"/>
              </w:rPr>
              <w:t>.52</w:t>
            </w:r>
          </w:p>
        </w:tc>
        <w:tc>
          <w:tcPr>
            <w:tcW w:w="926" w:type="dxa"/>
            <w:tcBorders>
              <w:top w:val="nil"/>
              <w:left w:val="nil"/>
              <w:bottom w:val="single" w:color="auto" w:sz="4" w:space="0"/>
              <w:right w:val="single" w:color="auto" w:sz="4" w:space="0"/>
            </w:tcBorders>
            <w:shd w:val="clear" w:color="000000" w:fill="FFFFFF"/>
            <w:noWrap/>
            <w:vAlign w:val="center"/>
          </w:tcPr>
          <w:p w14:paraId="76969BDF">
            <w:pPr>
              <w:widowControl/>
              <w:jc w:val="center"/>
              <w:rPr>
                <w:rFonts w:ascii="宋体" w:hAnsi="宋体" w:eastAsia="宋体" w:cs="宋体"/>
                <w:kern w:val="0"/>
                <w:sz w:val="18"/>
                <w:szCs w:val="18"/>
              </w:rPr>
            </w:pPr>
            <w:r>
              <w:rPr>
                <w:rFonts w:hint="eastAsia" w:ascii="宋体" w:hAnsi="宋体" w:eastAsia="宋体" w:cs="宋体"/>
                <w:kern w:val="0"/>
                <w:sz w:val="18"/>
                <w:szCs w:val="18"/>
              </w:rPr>
              <w:t>1.1</w:t>
            </w:r>
            <w:r>
              <w:rPr>
                <w:rFonts w:ascii="宋体" w:hAnsi="宋体" w:eastAsia="宋体" w:cs="宋体"/>
                <w:kern w:val="0"/>
                <w:sz w:val="18"/>
                <w:szCs w:val="18"/>
              </w:rPr>
              <w:t>1</w:t>
            </w:r>
          </w:p>
        </w:tc>
      </w:tr>
      <w:tr w14:paraId="08466770">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66858BF2">
            <w:pPr>
              <w:widowControl/>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296" w:type="dxa"/>
            <w:tcBorders>
              <w:top w:val="single" w:color="auto" w:sz="4" w:space="0"/>
              <w:left w:val="single" w:color="auto" w:sz="4" w:space="0"/>
              <w:bottom w:val="single" w:color="auto" w:sz="4" w:space="0"/>
              <w:right w:val="single" w:color="auto" w:sz="4" w:space="0"/>
            </w:tcBorders>
            <w:noWrap/>
            <w:vAlign w:val="center"/>
          </w:tcPr>
          <w:p w14:paraId="0C4F2838">
            <w:pPr>
              <w:widowControl/>
              <w:jc w:val="center"/>
              <w:rPr>
                <w:rFonts w:ascii="宋体" w:hAnsi="宋体" w:eastAsia="宋体" w:cs="宋体"/>
                <w:kern w:val="0"/>
                <w:sz w:val="18"/>
                <w:szCs w:val="18"/>
              </w:rPr>
            </w:pPr>
            <w:r>
              <w:rPr>
                <w:rFonts w:hint="eastAsia" w:ascii="宋体" w:hAnsi="宋体" w:eastAsia="宋体" w:cs="宋体"/>
                <w:kern w:val="0"/>
                <w:sz w:val="18"/>
                <w:szCs w:val="18"/>
              </w:rPr>
              <w:t>固玛镇</w:t>
            </w:r>
          </w:p>
        </w:tc>
        <w:tc>
          <w:tcPr>
            <w:tcW w:w="835" w:type="dxa"/>
            <w:tcBorders>
              <w:top w:val="single" w:color="auto" w:sz="4" w:space="0"/>
              <w:left w:val="single" w:color="auto" w:sz="4" w:space="0"/>
              <w:bottom w:val="single" w:color="auto" w:sz="4" w:space="0"/>
              <w:right w:val="single" w:color="auto" w:sz="4" w:space="0"/>
            </w:tcBorders>
            <w:noWrap/>
            <w:vAlign w:val="center"/>
          </w:tcPr>
          <w:p w14:paraId="737D4AEC">
            <w:pPr>
              <w:widowControl/>
              <w:jc w:val="center"/>
              <w:rPr>
                <w:rFonts w:ascii="宋体" w:hAnsi="宋体" w:eastAsia="宋体" w:cs="宋体"/>
                <w:kern w:val="0"/>
                <w:sz w:val="18"/>
                <w:szCs w:val="18"/>
              </w:rPr>
            </w:pPr>
            <w:r>
              <w:rPr>
                <w:rFonts w:hint="eastAsia" w:ascii="宋体" w:hAnsi="宋体" w:eastAsia="宋体" w:cs="宋体"/>
                <w:kern w:val="0"/>
                <w:sz w:val="18"/>
                <w:szCs w:val="18"/>
              </w:rPr>
              <w:t>6.00</w:t>
            </w:r>
          </w:p>
        </w:tc>
        <w:tc>
          <w:tcPr>
            <w:tcW w:w="90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A995E1">
            <w:pPr>
              <w:widowControl/>
              <w:jc w:val="center"/>
              <w:rPr>
                <w:rFonts w:ascii="宋体" w:hAnsi="宋体" w:eastAsia="宋体" w:cs="宋体"/>
                <w:kern w:val="0"/>
                <w:sz w:val="18"/>
                <w:szCs w:val="18"/>
              </w:rPr>
            </w:pPr>
            <w:r>
              <w:rPr>
                <w:rFonts w:ascii="宋体" w:hAnsi="宋体" w:eastAsia="宋体" w:cs="宋体"/>
                <w:kern w:val="0"/>
                <w:sz w:val="18"/>
                <w:szCs w:val="18"/>
              </w:rPr>
              <w:t>2.06</w:t>
            </w:r>
          </w:p>
        </w:tc>
        <w:tc>
          <w:tcPr>
            <w:tcW w:w="776" w:type="dxa"/>
            <w:tcBorders>
              <w:top w:val="single" w:color="auto" w:sz="4" w:space="0"/>
              <w:left w:val="single" w:color="auto" w:sz="4" w:space="0"/>
              <w:bottom w:val="single" w:color="auto" w:sz="4" w:space="0"/>
              <w:right w:val="single" w:color="auto" w:sz="4" w:space="0"/>
            </w:tcBorders>
            <w:noWrap/>
            <w:vAlign w:val="center"/>
          </w:tcPr>
          <w:p w14:paraId="32936885">
            <w:pPr>
              <w:widowControl/>
              <w:jc w:val="center"/>
              <w:rPr>
                <w:rFonts w:ascii="宋体" w:hAnsi="宋体" w:eastAsia="宋体" w:cs="宋体"/>
                <w:kern w:val="0"/>
                <w:sz w:val="18"/>
                <w:szCs w:val="18"/>
              </w:rPr>
            </w:pPr>
          </w:p>
        </w:tc>
        <w:tc>
          <w:tcPr>
            <w:tcW w:w="979" w:type="dxa"/>
            <w:tcBorders>
              <w:top w:val="single" w:color="auto" w:sz="4" w:space="0"/>
              <w:left w:val="single" w:color="auto" w:sz="4" w:space="0"/>
              <w:bottom w:val="single" w:color="auto" w:sz="4" w:space="0"/>
              <w:right w:val="single" w:color="auto" w:sz="4" w:space="0"/>
            </w:tcBorders>
            <w:noWrap/>
            <w:vAlign w:val="center"/>
          </w:tcPr>
          <w:p w14:paraId="050DC8CA">
            <w:pPr>
              <w:widowControl/>
              <w:jc w:val="center"/>
              <w:rPr>
                <w:rFonts w:ascii="宋体" w:hAnsi="宋体" w:eastAsia="宋体" w:cs="宋体"/>
                <w:kern w:val="0"/>
                <w:sz w:val="18"/>
                <w:szCs w:val="18"/>
              </w:rPr>
            </w:pPr>
            <w:r>
              <w:rPr>
                <w:rFonts w:ascii="宋体" w:hAnsi="宋体" w:eastAsia="宋体" w:cs="宋体"/>
                <w:kern w:val="0"/>
                <w:sz w:val="18"/>
                <w:szCs w:val="18"/>
              </w:rPr>
              <w:t>1.17</w:t>
            </w:r>
          </w:p>
        </w:tc>
        <w:tc>
          <w:tcPr>
            <w:tcW w:w="838" w:type="dxa"/>
            <w:tcBorders>
              <w:top w:val="single" w:color="auto" w:sz="4" w:space="0"/>
              <w:left w:val="single" w:color="auto" w:sz="4" w:space="0"/>
              <w:bottom w:val="single" w:color="auto" w:sz="4" w:space="0"/>
              <w:right w:val="single" w:color="auto" w:sz="4" w:space="0"/>
            </w:tcBorders>
            <w:vAlign w:val="center"/>
          </w:tcPr>
          <w:p w14:paraId="0B7EC792">
            <w:pPr>
              <w:widowControl/>
              <w:jc w:val="center"/>
              <w:rPr>
                <w:rFonts w:ascii="宋体" w:hAnsi="宋体" w:eastAsia="宋体" w:cs="宋体"/>
                <w:kern w:val="0"/>
                <w:sz w:val="18"/>
                <w:szCs w:val="18"/>
              </w:rPr>
            </w:pPr>
          </w:p>
        </w:tc>
        <w:tc>
          <w:tcPr>
            <w:tcW w:w="797" w:type="dxa"/>
            <w:tcBorders>
              <w:top w:val="single" w:color="auto" w:sz="4" w:space="0"/>
              <w:left w:val="single" w:color="auto" w:sz="4" w:space="0"/>
              <w:bottom w:val="single" w:color="auto" w:sz="4" w:space="0"/>
              <w:right w:val="nil"/>
            </w:tcBorders>
            <w:vAlign w:val="center"/>
          </w:tcPr>
          <w:p w14:paraId="3276920D">
            <w:pPr>
              <w:widowControl/>
              <w:jc w:val="center"/>
              <w:rPr>
                <w:rFonts w:ascii="宋体" w:hAnsi="宋体" w:eastAsia="宋体" w:cs="宋体"/>
                <w:kern w:val="0"/>
                <w:sz w:val="18"/>
                <w:szCs w:val="18"/>
              </w:rPr>
            </w:pPr>
          </w:p>
        </w:tc>
        <w:tc>
          <w:tcPr>
            <w:tcW w:w="926" w:type="dxa"/>
            <w:tcBorders>
              <w:top w:val="single" w:color="auto" w:sz="4" w:space="0"/>
              <w:left w:val="single" w:color="auto" w:sz="4" w:space="0"/>
              <w:bottom w:val="single" w:color="auto" w:sz="4" w:space="0"/>
              <w:right w:val="single" w:color="auto" w:sz="4" w:space="0"/>
            </w:tcBorders>
            <w:noWrap/>
            <w:vAlign w:val="center"/>
          </w:tcPr>
          <w:p w14:paraId="25645863">
            <w:pPr>
              <w:widowControl/>
              <w:jc w:val="center"/>
              <w:rPr>
                <w:rFonts w:ascii="宋体" w:hAnsi="宋体" w:eastAsia="宋体" w:cs="宋体"/>
                <w:kern w:val="0"/>
                <w:sz w:val="18"/>
                <w:szCs w:val="18"/>
              </w:rPr>
            </w:pPr>
            <w:r>
              <w:rPr>
                <w:rFonts w:ascii="宋体" w:hAnsi="宋体" w:eastAsia="宋体" w:cs="宋体"/>
                <w:kern w:val="0"/>
                <w:sz w:val="18"/>
                <w:szCs w:val="18"/>
              </w:rPr>
              <w:t>　</w:t>
            </w:r>
          </w:p>
        </w:tc>
      </w:tr>
      <w:tr w14:paraId="6A7529EF">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768CADDE">
            <w:pPr>
              <w:widowControl/>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296" w:type="dxa"/>
            <w:tcBorders>
              <w:top w:val="nil"/>
              <w:left w:val="single" w:color="auto" w:sz="4" w:space="0"/>
              <w:bottom w:val="single" w:color="auto" w:sz="4" w:space="0"/>
              <w:right w:val="single" w:color="auto" w:sz="4" w:space="0"/>
            </w:tcBorders>
            <w:noWrap/>
            <w:vAlign w:val="center"/>
          </w:tcPr>
          <w:p w14:paraId="573B184C">
            <w:pPr>
              <w:widowControl/>
              <w:jc w:val="center"/>
              <w:rPr>
                <w:rFonts w:ascii="宋体" w:hAnsi="宋体" w:eastAsia="宋体" w:cs="宋体"/>
                <w:kern w:val="0"/>
                <w:sz w:val="18"/>
                <w:szCs w:val="18"/>
              </w:rPr>
            </w:pPr>
            <w:r>
              <w:rPr>
                <w:rFonts w:hint="eastAsia" w:ascii="宋体" w:hAnsi="宋体" w:eastAsia="宋体" w:cs="宋体"/>
                <w:kern w:val="0"/>
                <w:sz w:val="18"/>
                <w:szCs w:val="18"/>
              </w:rPr>
              <w:t>科克铁热克镇</w:t>
            </w:r>
          </w:p>
        </w:tc>
        <w:tc>
          <w:tcPr>
            <w:tcW w:w="835" w:type="dxa"/>
            <w:tcBorders>
              <w:top w:val="nil"/>
              <w:left w:val="single" w:color="auto" w:sz="4" w:space="0"/>
              <w:bottom w:val="single" w:color="auto" w:sz="4" w:space="0"/>
              <w:right w:val="single" w:color="auto" w:sz="4" w:space="0"/>
            </w:tcBorders>
            <w:noWrap/>
            <w:vAlign w:val="center"/>
          </w:tcPr>
          <w:p w14:paraId="482BC073">
            <w:pPr>
              <w:widowControl/>
              <w:jc w:val="center"/>
              <w:rPr>
                <w:rFonts w:ascii="宋体" w:hAnsi="宋体" w:eastAsia="宋体" w:cs="宋体"/>
                <w:kern w:val="0"/>
                <w:sz w:val="18"/>
                <w:szCs w:val="18"/>
              </w:rPr>
            </w:pPr>
            <w:r>
              <w:rPr>
                <w:rFonts w:hint="eastAsia" w:ascii="宋体" w:hAnsi="宋体" w:eastAsia="宋体" w:cs="宋体"/>
                <w:kern w:val="0"/>
                <w:sz w:val="18"/>
                <w:szCs w:val="18"/>
              </w:rPr>
              <w:t>7.84</w:t>
            </w:r>
          </w:p>
        </w:tc>
        <w:tc>
          <w:tcPr>
            <w:tcW w:w="904" w:type="dxa"/>
            <w:tcBorders>
              <w:top w:val="nil"/>
              <w:left w:val="single" w:color="auto" w:sz="4" w:space="0"/>
              <w:bottom w:val="single" w:color="auto" w:sz="4" w:space="0"/>
              <w:right w:val="single" w:color="auto" w:sz="4" w:space="0"/>
            </w:tcBorders>
            <w:shd w:val="clear" w:color="000000" w:fill="FFFFFF"/>
            <w:noWrap/>
            <w:vAlign w:val="center"/>
          </w:tcPr>
          <w:p w14:paraId="412540E1">
            <w:pPr>
              <w:widowControl/>
              <w:jc w:val="center"/>
              <w:rPr>
                <w:rFonts w:ascii="宋体" w:hAnsi="宋体" w:eastAsia="宋体" w:cs="宋体"/>
                <w:kern w:val="0"/>
                <w:sz w:val="18"/>
                <w:szCs w:val="18"/>
              </w:rPr>
            </w:pPr>
            <w:r>
              <w:rPr>
                <w:rFonts w:ascii="宋体" w:hAnsi="宋体" w:eastAsia="宋体" w:cs="宋体"/>
                <w:kern w:val="0"/>
                <w:sz w:val="18"/>
                <w:szCs w:val="18"/>
              </w:rPr>
              <w:t>3.36</w:t>
            </w:r>
          </w:p>
        </w:tc>
        <w:tc>
          <w:tcPr>
            <w:tcW w:w="776" w:type="dxa"/>
            <w:tcBorders>
              <w:top w:val="nil"/>
              <w:left w:val="single" w:color="auto" w:sz="4" w:space="0"/>
              <w:bottom w:val="single" w:color="auto" w:sz="4" w:space="0"/>
              <w:right w:val="single" w:color="auto" w:sz="4" w:space="0"/>
            </w:tcBorders>
            <w:noWrap/>
            <w:vAlign w:val="center"/>
          </w:tcPr>
          <w:p w14:paraId="5B434B97">
            <w:pPr>
              <w:widowControl/>
              <w:jc w:val="center"/>
              <w:rPr>
                <w:rFonts w:ascii="宋体" w:hAnsi="宋体" w:eastAsia="宋体" w:cs="宋体"/>
                <w:kern w:val="0"/>
                <w:sz w:val="18"/>
                <w:szCs w:val="18"/>
              </w:rPr>
            </w:pPr>
          </w:p>
        </w:tc>
        <w:tc>
          <w:tcPr>
            <w:tcW w:w="979" w:type="dxa"/>
            <w:tcBorders>
              <w:top w:val="nil"/>
              <w:left w:val="single" w:color="auto" w:sz="4" w:space="0"/>
              <w:bottom w:val="single" w:color="auto" w:sz="4" w:space="0"/>
              <w:right w:val="single" w:color="auto" w:sz="4" w:space="0"/>
            </w:tcBorders>
            <w:noWrap/>
            <w:vAlign w:val="center"/>
          </w:tcPr>
          <w:p w14:paraId="610B1735">
            <w:pPr>
              <w:widowControl/>
              <w:jc w:val="center"/>
              <w:rPr>
                <w:rFonts w:ascii="宋体" w:hAnsi="宋体" w:eastAsia="宋体" w:cs="宋体"/>
                <w:kern w:val="0"/>
                <w:sz w:val="18"/>
                <w:szCs w:val="18"/>
              </w:rPr>
            </w:pPr>
            <w:r>
              <w:rPr>
                <w:rFonts w:ascii="宋体" w:hAnsi="宋体" w:eastAsia="宋体" w:cs="宋体"/>
                <w:kern w:val="0"/>
                <w:sz w:val="18"/>
                <w:szCs w:val="18"/>
              </w:rPr>
              <w:t>0.19</w:t>
            </w:r>
          </w:p>
        </w:tc>
        <w:tc>
          <w:tcPr>
            <w:tcW w:w="838" w:type="dxa"/>
            <w:tcBorders>
              <w:top w:val="nil"/>
              <w:left w:val="single" w:color="auto" w:sz="4" w:space="0"/>
              <w:bottom w:val="single" w:color="auto" w:sz="4" w:space="0"/>
              <w:right w:val="single" w:color="auto" w:sz="4" w:space="0"/>
            </w:tcBorders>
            <w:vAlign w:val="center"/>
          </w:tcPr>
          <w:p w14:paraId="3FD513ED">
            <w:pPr>
              <w:widowControl/>
              <w:jc w:val="center"/>
              <w:rPr>
                <w:rFonts w:ascii="宋体" w:hAnsi="宋体" w:eastAsia="宋体" w:cs="宋体"/>
                <w:kern w:val="0"/>
                <w:sz w:val="18"/>
                <w:szCs w:val="18"/>
              </w:rPr>
            </w:pPr>
          </w:p>
        </w:tc>
        <w:tc>
          <w:tcPr>
            <w:tcW w:w="797" w:type="dxa"/>
            <w:tcBorders>
              <w:top w:val="nil"/>
              <w:left w:val="single" w:color="auto" w:sz="4" w:space="0"/>
              <w:bottom w:val="single" w:color="auto" w:sz="4" w:space="0"/>
              <w:right w:val="nil"/>
            </w:tcBorders>
            <w:vAlign w:val="center"/>
          </w:tcPr>
          <w:p w14:paraId="68FE22A6">
            <w:pPr>
              <w:widowControl/>
              <w:jc w:val="center"/>
              <w:rPr>
                <w:rFonts w:ascii="宋体" w:hAnsi="宋体" w:eastAsia="宋体" w:cs="宋体"/>
                <w:kern w:val="0"/>
                <w:sz w:val="18"/>
                <w:szCs w:val="18"/>
              </w:rPr>
            </w:pPr>
          </w:p>
        </w:tc>
        <w:tc>
          <w:tcPr>
            <w:tcW w:w="926" w:type="dxa"/>
            <w:tcBorders>
              <w:top w:val="nil"/>
              <w:left w:val="single" w:color="auto" w:sz="4" w:space="0"/>
              <w:bottom w:val="single" w:color="auto" w:sz="4" w:space="0"/>
              <w:right w:val="single" w:color="auto" w:sz="4" w:space="0"/>
            </w:tcBorders>
            <w:noWrap/>
            <w:vAlign w:val="center"/>
          </w:tcPr>
          <w:p w14:paraId="491741F2">
            <w:pPr>
              <w:widowControl/>
              <w:jc w:val="center"/>
              <w:rPr>
                <w:rFonts w:ascii="宋体" w:hAnsi="宋体" w:eastAsia="宋体" w:cs="宋体"/>
                <w:kern w:val="0"/>
                <w:sz w:val="18"/>
                <w:szCs w:val="18"/>
              </w:rPr>
            </w:pPr>
            <w:r>
              <w:rPr>
                <w:rFonts w:ascii="宋体" w:hAnsi="宋体" w:eastAsia="宋体" w:cs="宋体"/>
                <w:kern w:val="0"/>
                <w:sz w:val="18"/>
                <w:szCs w:val="18"/>
              </w:rPr>
              <w:t>0.06</w:t>
            </w:r>
          </w:p>
        </w:tc>
      </w:tr>
      <w:tr w14:paraId="62A3BEB4">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5FFEB872">
            <w:pPr>
              <w:widowControl/>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1296" w:type="dxa"/>
            <w:tcBorders>
              <w:top w:val="nil"/>
              <w:left w:val="single" w:color="auto" w:sz="4" w:space="0"/>
              <w:bottom w:val="single" w:color="auto" w:sz="4" w:space="0"/>
              <w:right w:val="single" w:color="auto" w:sz="4" w:space="0"/>
            </w:tcBorders>
            <w:shd w:val="clear" w:color="000000" w:fill="FFFFFF"/>
            <w:noWrap/>
            <w:vAlign w:val="center"/>
          </w:tcPr>
          <w:p w14:paraId="6E491A99">
            <w:pPr>
              <w:widowControl/>
              <w:jc w:val="center"/>
              <w:rPr>
                <w:rFonts w:ascii="宋体" w:hAnsi="宋体" w:eastAsia="宋体" w:cs="宋体"/>
                <w:kern w:val="0"/>
                <w:sz w:val="18"/>
                <w:szCs w:val="18"/>
              </w:rPr>
            </w:pPr>
            <w:r>
              <w:rPr>
                <w:rFonts w:hint="eastAsia" w:ascii="宋体" w:hAnsi="宋体" w:eastAsia="宋体" w:cs="宋体"/>
                <w:kern w:val="0"/>
                <w:sz w:val="18"/>
                <w:szCs w:val="18"/>
              </w:rPr>
              <w:t>木奎拉乡</w:t>
            </w:r>
          </w:p>
        </w:tc>
        <w:tc>
          <w:tcPr>
            <w:tcW w:w="835" w:type="dxa"/>
            <w:tcBorders>
              <w:top w:val="nil"/>
              <w:left w:val="single" w:color="auto" w:sz="4" w:space="0"/>
              <w:bottom w:val="single" w:color="auto" w:sz="4" w:space="0"/>
              <w:right w:val="single" w:color="auto" w:sz="4" w:space="0"/>
            </w:tcBorders>
            <w:noWrap/>
            <w:vAlign w:val="center"/>
          </w:tcPr>
          <w:p w14:paraId="032494F0">
            <w:pPr>
              <w:widowControl/>
              <w:jc w:val="center"/>
              <w:rPr>
                <w:rFonts w:ascii="宋体" w:hAnsi="宋体" w:eastAsia="宋体" w:cs="宋体"/>
                <w:kern w:val="0"/>
                <w:sz w:val="18"/>
                <w:szCs w:val="18"/>
              </w:rPr>
            </w:pPr>
            <w:r>
              <w:rPr>
                <w:rFonts w:hint="eastAsia" w:ascii="宋体" w:hAnsi="宋体" w:eastAsia="宋体" w:cs="宋体"/>
                <w:kern w:val="0"/>
                <w:sz w:val="18"/>
                <w:szCs w:val="18"/>
              </w:rPr>
              <w:t>10.32</w:t>
            </w:r>
          </w:p>
        </w:tc>
        <w:tc>
          <w:tcPr>
            <w:tcW w:w="904" w:type="dxa"/>
            <w:tcBorders>
              <w:top w:val="nil"/>
              <w:left w:val="single" w:color="auto" w:sz="4" w:space="0"/>
              <w:bottom w:val="single" w:color="auto" w:sz="4" w:space="0"/>
              <w:right w:val="single" w:color="auto" w:sz="4" w:space="0"/>
            </w:tcBorders>
            <w:shd w:val="clear" w:color="000000" w:fill="FFFFFF"/>
            <w:noWrap/>
            <w:vAlign w:val="center"/>
          </w:tcPr>
          <w:p w14:paraId="6AA9B77D">
            <w:pPr>
              <w:widowControl/>
              <w:jc w:val="center"/>
              <w:rPr>
                <w:rFonts w:ascii="宋体" w:hAnsi="宋体" w:eastAsia="宋体" w:cs="宋体"/>
                <w:kern w:val="0"/>
                <w:sz w:val="18"/>
                <w:szCs w:val="18"/>
              </w:rPr>
            </w:pPr>
            <w:r>
              <w:rPr>
                <w:rFonts w:ascii="宋体" w:hAnsi="宋体" w:eastAsia="宋体" w:cs="宋体"/>
                <w:kern w:val="0"/>
                <w:sz w:val="18"/>
                <w:szCs w:val="18"/>
              </w:rPr>
              <w:t>2.66</w:t>
            </w:r>
          </w:p>
        </w:tc>
        <w:tc>
          <w:tcPr>
            <w:tcW w:w="776" w:type="dxa"/>
            <w:tcBorders>
              <w:top w:val="nil"/>
              <w:left w:val="single" w:color="auto" w:sz="4" w:space="0"/>
              <w:bottom w:val="single" w:color="auto" w:sz="4" w:space="0"/>
              <w:right w:val="single" w:color="auto" w:sz="4" w:space="0"/>
            </w:tcBorders>
            <w:shd w:val="clear" w:color="000000" w:fill="FFFFFF"/>
            <w:noWrap/>
            <w:vAlign w:val="center"/>
          </w:tcPr>
          <w:p w14:paraId="4A8FEC77">
            <w:pPr>
              <w:widowControl/>
              <w:jc w:val="center"/>
              <w:rPr>
                <w:rFonts w:ascii="宋体" w:hAnsi="宋体" w:eastAsia="宋体" w:cs="宋体"/>
                <w:kern w:val="0"/>
                <w:sz w:val="18"/>
                <w:szCs w:val="18"/>
              </w:rPr>
            </w:pPr>
            <w:r>
              <w:rPr>
                <w:rFonts w:ascii="宋体" w:hAnsi="宋体" w:eastAsia="宋体" w:cs="宋体"/>
                <w:kern w:val="0"/>
                <w:sz w:val="18"/>
                <w:szCs w:val="18"/>
              </w:rPr>
              <w:t>0.03</w:t>
            </w:r>
          </w:p>
        </w:tc>
        <w:tc>
          <w:tcPr>
            <w:tcW w:w="979" w:type="dxa"/>
            <w:tcBorders>
              <w:top w:val="nil"/>
              <w:left w:val="single" w:color="auto" w:sz="4" w:space="0"/>
              <w:bottom w:val="single" w:color="auto" w:sz="4" w:space="0"/>
              <w:right w:val="single" w:color="auto" w:sz="4" w:space="0"/>
            </w:tcBorders>
            <w:shd w:val="clear" w:color="000000" w:fill="FFFFFF"/>
            <w:noWrap/>
            <w:vAlign w:val="center"/>
          </w:tcPr>
          <w:p w14:paraId="1C3D2B4A">
            <w:pPr>
              <w:widowControl/>
              <w:jc w:val="center"/>
              <w:rPr>
                <w:rFonts w:ascii="宋体" w:hAnsi="宋体" w:eastAsia="宋体" w:cs="宋体"/>
                <w:kern w:val="0"/>
                <w:sz w:val="18"/>
                <w:szCs w:val="18"/>
              </w:rPr>
            </w:pPr>
            <w:r>
              <w:rPr>
                <w:rFonts w:ascii="宋体" w:hAnsi="宋体" w:eastAsia="宋体" w:cs="宋体"/>
                <w:kern w:val="0"/>
                <w:sz w:val="18"/>
                <w:szCs w:val="18"/>
              </w:rPr>
              <w:t>1.01</w:t>
            </w:r>
          </w:p>
        </w:tc>
        <w:tc>
          <w:tcPr>
            <w:tcW w:w="838" w:type="dxa"/>
            <w:tcBorders>
              <w:top w:val="nil"/>
              <w:left w:val="single" w:color="auto" w:sz="4" w:space="0"/>
              <w:bottom w:val="single" w:color="auto" w:sz="4" w:space="0"/>
              <w:right w:val="single" w:color="auto" w:sz="4" w:space="0"/>
            </w:tcBorders>
            <w:shd w:val="clear" w:color="000000" w:fill="FFFFFF"/>
            <w:vAlign w:val="center"/>
          </w:tcPr>
          <w:p w14:paraId="49129503">
            <w:pPr>
              <w:widowControl/>
              <w:jc w:val="center"/>
              <w:rPr>
                <w:rFonts w:ascii="宋体" w:hAnsi="宋体" w:eastAsia="宋体" w:cs="宋体"/>
                <w:kern w:val="0"/>
                <w:sz w:val="18"/>
                <w:szCs w:val="18"/>
              </w:rPr>
            </w:pPr>
            <w:r>
              <w:rPr>
                <w:rFonts w:ascii="宋体" w:hAnsi="宋体" w:eastAsia="宋体" w:cs="宋体"/>
                <w:kern w:val="0"/>
                <w:sz w:val="18"/>
                <w:szCs w:val="18"/>
              </w:rPr>
              <w:t>0.01</w:t>
            </w:r>
          </w:p>
        </w:tc>
        <w:tc>
          <w:tcPr>
            <w:tcW w:w="797" w:type="dxa"/>
            <w:tcBorders>
              <w:top w:val="nil"/>
              <w:left w:val="single" w:color="auto" w:sz="4" w:space="0"/>
              <w:bottom w:val="single" w:color="auto" w:sz="4" w:space="0"/>
              <w:right w:val="nil"/>
            </w:tcBorders>
            <w:shd w:val="clear" w:color="000000" w:fill="FFFFFF"/>
            <w:vAlign w:val="center"/>
          </w:tcPr>
          <w:p w14:paraId="1A17F4AD">
            <w:pPr>
              <w:widowControl/>
              <w:jc w:val="center"/>
              <w:rPr>
                <w:rFonts w:ascii="宋体" w:hAnsi="宋体" w:eastAsia="宋体" w:cs="宋体"/>
                <w:kern w:val="0"/>
                <w:sz w:val="18"/>
                <w:szCs w:val="18"/>
              </w:rPr>
            </w:pPr>
            <w:r>
              <w:rPr>
                <w:rFonts w:hint="eastAsia" w:ascii="宋体" w:hAnsi="宋体" w:eastAsia="宋体" w:cs="宋体"/>
                <w:kern w:val="0"/>
                <w:sz w:val="18"/>
                <w:szCs w:val="18"/>
              </w:rPr>
              <w:t>0.05</w:t>
            </w:r>
          </w:p>
        </w:tc>
        <w:tc>
          <w:tcPr>
            <w:tcW w:w="926" w:type="dxa"/>
            <w:tcBorders>
              <w:top w:val="nil"/>
              <w:left w:val="single" w:color="auto" w:sz="4" w:space="0"/>
              <w:bottom w:val="single" w:color="auto" w:sz="4" w:space="0"/>
              <w:right w:val="single" w:color="auto" w:sz="4" w:space="0"/>
            </w:tcBorders>
            <w:shd w:val="clear" w:color="000000" w:fill="FFFFFF"/>
            <w:noWrap/>
            <w:vAlign w:val="center"/>
          </w:tcPr>
          <w:p w14:paraId="4C163452">
            <w:pPr>
              <w:widowControl/>
              <w:jc w:val="center"/>
              <w:rPr>
                <w:rFonts w:ascii="宋体" w:hAnsi="宋体" w:eastAsia="宋体" w:cs="宋体"/>
                <w:kern w:val="0"/>
                <w:sz w:val="18"/>
                <w:szCs w:val="18"/>
              </w:rPr>
            </w:pPr>
            <w:r>
              <w:rPr>
                <w:rFonts w:ascii="宋体" w:hAnsi="宋体" w:eastAsia="宋体" w:cs="宋体"/>
                <w:kern w:val="0"/>
                <w:sz w:val="18"/>
                <w:szCs w:val="18"/>
              </w:rPr>
              <w:t>0.00</w:t>
            </w:r>
          </w:p>
        </w:tc>
      </w:tr>
      <w:tr w14:paraId="6BBF88DC">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6D60C5A0">
            <w:pPr>
              <w:widowControl/>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296" w:type="dxa"/>
            <w:tcBorders>
              <w:top w:val="nil"/>
              <w:left w:val="single" w:color="auto" w:sz="4" w:space="0"/>
              <w:bottom w:val="single" w:color="auto" w:sz="4" w:space="0"/>
              <w:right w:val="single" w:color="auto" w:sz="4" w:space="0"/>
            </w:tcBorders>
            <w:shd w:val="clear" w:color="000000" w:fill="FFFFFF"/>
            <w:noWrap/>
            <w:vAlign w:val="center"/>
          </w:tcPr>
          <w:p w14:paraId="7DF8A0F9">
            <w:pPr>
              <w:widowControl/>
              <w:jc w:val="center"/>
              <w:rPr>
                <w:rFonts w:ascii="宋体" w:hAnsi="宋体" w:eastAsia="宋体" w:cs="宋体"/>
                <w:kern w:val="0"/>
                <w:sz w:val="18"/>
                <w:szCs w:val="18"/>
              </w:rPr>
            </w:pPr>
            <w:r>
              <w:rPr>
                <w:rFonts w:hint="eastAsia" w:ascii="宋体" w:hAnsi="宋体" w:eastAsia="宋体" w:cs="宋体"/>
                <w:kern w:val="0"/>
                <w:sz w:val="18"/>
                <w:szCs w:val="18"/>
              </w:rPr>
              <w:t>乔达乡</w:t>
            </w:r>
          </w:p>
        </w:tc>
        <w:tc>
          <w:tcPr>
            <w:tcW w:w="835" w:type="dxa"/>
            <w:tcBorders>
              <w:top w:val="nil"/>
              <w:left w:val="single" w:color="auto" w:sz="4" w:space="0"/>
              <w:bottom w:val="single" w:color="auto" w:sz="4" w:space="0"/>
              <w:right w:val="single" w:color="auto" w:sz="4" w:space="0"/>
            </w:tcBorders>
            <w:noWrap/>
            <w:vAlign w:val="center"/>
          </w:tcPr>
          <w:p w14:paraId="25B67790">
            <w:pPr>
              <w:widowControl/>
              <w:jc w:val="center"/>
              <w:rPr>
                <w:rFonts w:ascii="宋体" w:hAnsi="宋体" w:eastAsia="宋体" w:cs="宋体"/>
                <w:kern w:val="0"/>
                <w:sz w:val="18"/>
                <w:szCs w:val="18"/>
              </w:rPr>
            </w:pPr>
            <w:r>
              <w:rPr>
                <w:rFonts w:hint="eastAsia" w:ascii="宋体" w:hAnsi="宋体" w:eastAsia="宋体" w:cs="宋体"/>
                <w:kern w:val="0"/>
                <w:sz w:val="18"/>
                <w:szCs w:val="18"/>
              </w:rPr>
              <w:t>5.72</w:t>
            </w:r>
          </w:p>
        </w:tc>
        <w:tc>
          <w:tcPr>
            <w:tcW w:w="904" w:type="dxa"/>
            <w:tcBorders>
              <w:top w:val="nil"/>
              <w:left w:val="single" w:color="auto" w:sz="4" w:space="0"/>
              <w:bottom w:val="single" w:color="auto" w:sz="4" w:space="0"/>
              <w:right w:val="single" w:color="auto" w:sz="4" w:space="0"/>
            </w:tcBorders>
            <w:shd w:val="clear" w:color="000000" w:fill="FFFFFF"/>
            <w:noWrap/>
            <w:vAlign w:val="center"/>
          </w:tcPr>
          <w:p w14:paraId="2CBB8B6D">
            <w:pPr>
              <w:widowControl/>
              <w:jc w:val="center"/>
              <w:rPr>
                <w:rFonts w:ascii="宋体" w:hAnsi="宋体" w:eastAsia="宋体" w:cs="宋体"/>
                <w:kern w:val="0"/>
                <w:sz w:val="18"/>
                <w:szCs w:val="18"/>
              </w:rPr>
            </w:pPr>
            <w:r>
              <w:rPr>
                <w:rFonts w:ascii="宋体" w:hAnsi="宋体" w:eastAsia="宋体" w:cs="宋体"/>
                <w:kern w:val="0"/>
                <w:sz w:val="18"/>
                <w:szCs w:val="18"/>
              </w:rPr>
              <w:t>1.12</w:t>
            </w:r>
          </w:p>
        </w:tc>
        <w:tc>
          <w:tcPr>
            <w:tcW w:w="776" w:type="dxa"/>
            <w:tcBorders>
              <w:top w:val="nil"/>
              <w:left w:val="single" w:color="auto" w:sz="4" w:space="0"/>
              <w:bottom w:val="single" w:color="auto" w:sz="4" w:space="0"/>
              <w:right w:val="single" w:color="auto" w:sz="4" w:space="0"/>
            </w:tcBorders>
            <w:shd w:val="clear" w:color="000000" w:fill="FFFFFF"/>
            <w:noWrap/>
            <w:vAlign w:val="center"/>
          </w:tcPr>
          <w:p w14:paraId="4E6D701F">
            <w:pPr>
              <w:widowControl/>
              <w:jc w:val="center"/>
              <w:rPr>
                <w:rFonts w:ascii="宋体" w:hAnsi="宋体" w:eastAsia="宋体" w:cs="宋体"/>
                <w:kern w:val="0"/>
                <w:sz w:val="18"/>
                <w:szCs w:val="18"/>
              </w:rPr>
            </w:pPr>
            <w:r>
              <w:rPr>
                <w:rFonts w:ascii="宋体" w:hAnsi="宋体" w:eastAsia="宋体" w:cs="宋体"/>
                <w:kern w:val="0"/>
                <w:sz w:val="18"/>
                <w:szCs w:val="18"/>
              </w:rPr>
              <w:t>0.01</w:t>
            </w:r>
          </w:p>
        </w:tc>
        <w:tc>
          <w:tcPr>
            <w:tcW w:w="979" w:type="dxa"/>
            <w:tcBorders>
              <w:top w:val="nil"/>
              <w:left w:val="single" w:color="auto" w:sz="4" w:space="0"/>
              <w:bottom w:val="single" w:color="auto" w:sz="4" w:space="0"/>
              <w:right w:val="single" w:color="auto" w:sz="4" w:space="0"/>
            </w:tcBorders>
            <w:shd w:val="clear" w:color="000000" w:fill="FFFFFF"/>
            <w:noWrap/>
            <w:vAlign w:val="center"/>
          </w:tcPr>
          <w:p w14:paraId="09C9D29A">
            <w:pPr>
              <w:widowControl/>
              <w:jc w:val="center"/>
              <w:rPr>
                <w:rFonts w:ascii="宋体" w:hAnsi="宋体" w:eastAsia="宋体" w:cs="宋体"/>
                <w:kern w:val="0"/>
                <w:sz w:val="18"/>
                <w:szCs w:val="18"/>
              </w:rPr>
            </w:pPr>
            <w:r>
              <w:rPr>
                <w:rFonts w:ascii="宋体" w:hAnsi="宋体" w:eastAsia="宋体" w:cs="宋体"/>
                <w:kern w:val="0"/>
                <w:sz w:val="18"/>
                <w:szCs w:val="18"/>
              </w:rPr>
              <w:t>0.82</w:t>
            </w:r>
          </w:p>
        </w:tc>
        <w:tc>
          <w:tcPr>
            <w:tcW w:w="838" w:type="dxa"/>
            <w:tcBorders>
              <w:top w:val="nil"/>
              <w:left w:val="single" w:color="auto" w:sz="4" w:space="0"/>
              <w:bottom w:val="single" w:color="auto" w:sz="4" w:space="0"/>
              <w:right w:val="single" w:color="auto" w:sz="4" w:space="0"/>
            </w:tcBorders>
            <w:shd w:val="clear" w:color="000000" w:fill="FFFFFF"/>
            <w:vAlign w:val="center"/>
          </w:tcPr>
          <w:p w14:paraId="2A5A0084">
            <w:pPr>
              <w:widowControl/>
              <w:jc w:val="center"/>
              <w:rPr>
                <w:rFonts w:ascii="宋体" w:hAnsi="宋体" w:eastAsia="宋体" w:cs="宋体"/>
                <w:kern w:val="0"/>
                <w:sz w:val="18"/>
                <w:szCs w:val="18"/>
              </w:rPr>
            </w:pPr>
            <w:r>
              <w:rPr>
                <w:rFonts w:ascii="宋体" w:hAnsi="宋体" w:eastAsia="宋体" w:cs="宋体"/>
                <w:kern w:val="0"/>
                <w:sz w:val="18"/>
                <w:szCs w:val="18"/>
              </w:rPr>
              <w:t>　</w:t>
            </w:r>
          </w:p>
        </w:tc>
        <w:tc>
          <w:tcPr>
            <w:tcW w:w="797" w:type="dxa"/>
            <w:tcBorders>
              <w:top w:val="nil"/>
              <w:left w:val="single" w:color="auto" w:sz="4" w:space="0"/>
              <w:bottom w:val="single" w:color="auto" w:sz="4" w:space="0"/>
              <w:right w:val="nil"/>
            </w:tcBorders>
            <w:shd w:val="clear" w:color="000000" w:fill="FFFFFF"/>
            <w:vAlign w:val="center"/>
          </w:tcPr>
          <w:p w14:paraId="715633F8">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926" w:type="dxa"/>
            <w:tcBorders>
              <w:top w:val="nil"/>
              <w:left w:val="single" w:color="auto" w:sz="4" w:space="0"/>
              <w:bottom w:val="single" w:color="auto" w:sz="4" w:space="0"/>
              <w:right w:val="single" w:color="auto" w:sz="4" w:space="0"/>
            </w:tcBorders>
            <w:shd w:val="clear" w:color="000000" w:fill="FFFFFF"/>
            <w:noWrap/>
            <w:vAlign w:val="center"/>
          </w:tcPr>
          <w:p w14:paraId="343BE245">
            <w:pPr>
              <w:widowControl/>
              <w:jc w:val="center"/>
              <w:rPr>
                <w:rFonts w:ascii="宋体" w:hAnsi="宋体" w:eastAsia="宋体" w:cs="宋体"/>
                <w:kern w:val="0"/>
                <w:sz w:val="18"/>
                <w:szCs w:val="18"/>
              </w:rPr>
            </w:pPr>
            <w:r>
              <w:rPr>
                <w:rFonts w:ascii="宋体" w:hAnsi="宋体" w:eastAsia="宋体" w:cs="宋体"/>
                <w:kern w:val="0"/>
                <w:sz w:val="18"/>
                <w:szCs w:val="18"/>
              </w:rPr>
              <w:t>0.06</w:t>
            </w:r>
          </w:p>
        </w:tc>
      </w:tr>
      <w:tr w14:paraId="608C08AF">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4B23A56E">
            <w:pPr>
              <w:widowControl/>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1296" w:type="dxa"/>
            <w:tcBorders>
              <w:top w:val="nil"/>
              <w:left w:val="single" w:color="auto" w:sz="4" w:space="0"/>
              <w:bottom w:val="single" w:color="auto" w:sz="4" w:space="0"/>
              <w:right w:val="single" w:color="auto" w:sz="4" w:space="0"/>
            </w:tcBorders>
            <w:noWrap/>
            <w:vAlign w:val="center"/>
          </w:tcPr>
          <w:p w14:paraId="3A550FD4">
            <w:pPr>
              <w:widowControl/>
              <w:jc w:val="center"/>
              <w:rPr>
                <w:rFonts w:ascii="宋体" w:hAnsi="宋体" w:eastAsia="宋体" w:cs="宋体"/>
                <w:kern w:val="0"/>
                <w:sz w:val="18"/>
                <w:szCs w:val="18"/>
              </w:rPr>
            </w:pPr>
            <w:r>
              <w:rPr>
                <w:rFonts w:hint="eastAsia" w:ascii="宋体" w:hAnsi="宋体" w:eastAsia="宋体" w:cs="宋体"/>
                <w:kern w:val="0"/>
                <w:sz w:val="18"/>
                <w:szCs w:val="18"/>
              </w:rPr>
              <w:t>木吉镇</w:t>
            </w:r>
          </w:p>
        </w:tc>
        <w:tc>
          <w:tcPr>
            <w:tcW w:w="835" w:type="dxa"/>
            <w:tcBorders>
              <w:top w:val="nil"/>
              <w:left w:val="single" w:color="auto" w:sz="4" w:space="0"/>
              <w:bottom w:val="single" w:color="auto" w:sz="4" w:space="0"/>
              <w:right w:val="single" w:color="auto" w:sz="4" w:space="0"/>
            </w:tcBorders>
            <w:noWrap/>
            <w:vAlign w:val="center"/>
          </w:tcPr>
          <w:p w14:paraId="0E83D16C">
            <w:pPr>
              <w:widowControl/>
              <w:jc w:val="center"/>
              <w:rPr>
                <w:rFonts w:ascii="宋体" w:hAnsi="宋体" w:eastAsia="宋体" w:cs="宋体"/>
                <w:kern w:val="0"/>
                <w:sz w:val="18"/>
                <w:szCs w:val="18"/>
              </w:rPr>
            </w:pPr>
            <w:r>
              <w:rPr>
                <w:rFonts w:hint="eastAsia" w:ascii="宋体" w:hAnsi="宋体" w:eastAsia="宋体" w:cs="宋体"/>
                <w:kern w:val="0"/>
                <w:sz w:val="18"/>
                <w:szCs w:val="18"/>
              </w:rPr>
              <w:t>9.35</w:t>
            </w:r>
          </w:p>
        </w:tc>
        <w:tc>
          <w:tcPr>
            <w:tcW w:w="904" w:type="dxa"/>
            <w:tcBorders>
              <w:top w:val="nil"/>
              <w:left w:val="single" w:color="auto" w:sz="4" w:space="0"/>
              <w:bottom w:val="single" w:color="auto" w:sz="4" w:space="0"/>
              <w:right w:val="single" w:color="auto" w:sz="4" w:space="0"/>
            </w:tcBorders>
            <w:shd w:val="clear" w:color="000000" w:fill="FFFFFF"/>
            <w:noWrap/>
            <w:vAlign w:val="center"/>
          </w:tcPr>
          <w:p w14:paraId="31AA0B73">
            <w:pPr>
              <w:widowControl/>
              <w:jc w:val="center"/>
              <w:rPr>
                <w:rFonts w:ascii="宋体" w:hAnsi="宋体" w:eastAsia="宋体" w:cs="宋体"/>
                <w:kern w:val="0"/>
                <w:sz w:val="18"/>
                <w:szCs w:val="18"/>
              </w:rPr>
            </w:pPr>
            <w:r>
              <w:rPr>
                <w:rFonts w:ascii="宋体" w:hAnsi="宋体" w:eastAsia="宋体" w:cs="宋体"/>
                <w:kern w:val="0"/>
                <w:sz w:val="18"/>
                <w:szCs w:val="18"/>
              </w:rPr>
              <w:t>2.60</w:t>
            </w:r>
          </w:p>
        </w:tc>
        <w:tc>
          <w:tcPr>
            <w:tcW w:w="776" w:type="dxa"/>
            <w:tcBorders>
              <w:top w:val="nil"/>
              <w:left w:val="single" w:color="auto" w:sz="4" w:space="0"/>
              <w:bottom w:val="single" w:color="auto" w:sz="4" w:space="0"/>
              <w:right w:val="single" w:color="auto" w:sz="4" w:space="0"/>
            </w:tcBorders>
            <w:noWrap/>
            <w:vAlign w:val="center"/>
          </w:tcPr>
          <w:p w14:paraId="19E0A1A0">
            <w:pPr>
              <w:widowControl/>
              <w:jc w:val="center"/>
              <w:rPr>
                <w:rFonts w:ascii="宋体" w:hAnsi="宋体" w:eastAsia="宋体" w:cs="宋体"/>
                <w:kern w:val="0"/>
                <w:sz w:val="18"/>
                <w:szCs w:val="18"/>
              </w:rPr>
            </w:pPr>
          </w:p>
        </w:tc>
        <w:tc>
          <w:tcPr>
            <w:tcW w:w="979" w:type="dxa"/>
            <w:tcBorders>
              <w:top w:val="nil"/>
              <w:left w:val="single" w:color="auto" w:sz="4" w:space="0"/>
              <w:bottom w:val="single" w:color="auto" w:sz="4" w:space="0"/>
              <w:right w:val="single" w:color="auto" w:sz="4" w:space="0"/>
            </w:tcBorders>
            <w:noWrap/>
            <w:vAlign w:val="center"/>
          </w:tcPr>
          <w:p w14:paraId="3BD858D3">
            <w:pPr>
              <w:widowControl/>
              <w:jc w:val="center"/>
              <w:rPr>
                <w:rFonts w:ascii="宋体" w:hAnsi="宋体" w:eastAsia="宋体" w:cs="宋体"/>
                <w:kern w:val="0"/>
                <w:sz w:val="18"/>
                <w:szCs w:val="18"/>
              </w:rPr>
            </w:pPr>
            <w:r>
              <w:rPr>
                <w:rFonts w:ascii="宋体" w:hAnsi="宋体" w:eastAsia="宋体" w:cs="宋体"/>
                <w:kern w:val="0"/>
                <w:sz w:val="18"/>
                <w:szCs w:val="18"/>
              </w:rPr>
              <w:t>3.31</w:t>
            </w:r>
          </w:p>
        </w:tc>
        <w:tc>
          <w:tcPr>
            <w:tcW w:w="838" w:type="dxa"/>
            <w:tcBorders>
              <w:top w:val="nil"/>
              <w:left w:val="single" w:color="auto" w:sz="4" w:space="0"/>
              <w:bottom w:val="single" w:color="auto" w:sz="4" w:space="0"/>
              <w:right w:val="single" w:color="auto" w:sz="4" w:space="0"/>
            </w:tcBorders>
            <w:vAlign w:val="center"/>
          </w:tcPr>
          <w:p w14:paraId="42AD047D">
            <w:pPr>
              <w:widowControl/>
              <w:jc w:val="center"/>
              <w:rPr>
                <w:rFonts w:ascii="宋体" w:hAnsi="宋体" w:eastAsia="宋体" w:cs="宋体"/>
                <w:kern w:val="0"/>
                <w:sz w:val="18"/>
                <w:szCs w:val="18"/>
              </w:rPr>
            </w:pPr>
            <w:r>
              <w:rPr>
                <w:rFonts w:ascii="宋体" w:hAnsi="宋体" w:eastAsia="宋体" w:cs="宋体"/>
                <w:kern w:val="0"/>
                <w:sz w:val="18"/>
                <w:szCs w:val="18"/>
              </w:rPr>
              <w:t>0.03</w:t>
            </w:r>
          </w:p>
        </w:tc>
        <w:tc>
          <w:tcPr>
            <w:tcW w:w="797" w:type="dxa"/>
            <w:tcBorders>
              <w:top w:val="nil"/>
              <w:left w:val="single" w:color="auto" w:sz="4" w:space="0"/>
              <w:bottom w:val="single" w:color="auto" w:sz="4" w:space="0"/>
              <w:right w:val="nil"/>
            </w:tcBorders>
            <w:vAlign w:val="center"/>
          </w:tcPr>
          <w:p w14:paraId="76A262BB">
            <w:pPr>
              <w:widowControl/>
              <w:jc w:val="center"/>
              <w:rPr>
                <w:rFonts w:ascii="宋体" w:hAnsi="宋体" w:eastAsia="宋体" w:cs="宋体"/>
                <w:kern w:val="0"/>
                <w:sz w:val="18"/>
                <w:szCs w:val="18"/>
              </w:rPr>
            </w:pPr>
            <w:r>
              <w:rPr>
                <w:rFonts w:hint="eastAsia" w:ascii="宋体" w:hAnsi="宋体" w:eastAsia="宋体" w:cs="宋体"/>
                <w:kern w:val="0"/>
                <w:sz w:val="18"/>
                <w:szCs w:val="18"/>
              </w:rPr>
              <w:t>0.08</w:t>
            </w:r>
          </w:p>
        </w:tc>
        <w:tc>
          <w:tcPr>
            <w:tcW w:w="926" w:type="dxa"/>
            <w:tcBorders>
              <w:top w:val="nil"/>
              <w:left w:val="single" w:color="auto" w:sz="4" w:space="0"/>
              <w:bottom w:val="single" w:color="auto" w:sz="4" w:space="0"/>
              <w:right w:val="single" w:color="auto" w:sz="4" w:space="0"/>
            </w:tcBorders>
            <w:noWrap/>
            <w:vAlign w:val="center"/>
          </w:tcPr>
          <w:p w14:paraId="499A30D3">
            <w:pPr>
              <w:widowControl/>
              <w:jc w:val="center"/>
              <w:rPr>
                <w:rFonts w:ascii="宋体" w:hAnsi="宋体" w:eastAsia="宋体" w:cs="宋体"/>
                <w:kern w:val="0"/>
                <w:sz w:val="18"/>
                <w:szCs w:val="18"/>
              </w:rPr>
            </w:pPr>
            <w:r>
              <w:rPr>
                <w:rFonts w:ascii="宋体" w:hAnsi="宋体" w:eastAsia="宋体" w:cs="宋体"/>
                <w:kern w:val="0"/>
                <w:sz w:val="18"/>
                <w:szCs w:val="18"/>
              </w:rPr>
              <w:t>0.00</w:t>
            </w:r>
          </w:p>
        </w:tc>
      </w:tr>
      <w:tr w14:paraId="30334B1D">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4EDFA33E">
            <w:pPr>
              <w:widowControl/>
              <w:jc w:val="center"/>
              <w:rPr>
                <w:rFonts w:ascii="宋体" w:hAnsi="宋体" w:eastAsia="宋体" w:cs="宋体"/>
                <w:kern w:val="0"/>
                <w:sz w:val="18"/>
                <w:szCs w:val="18"/>
              </w:rPr>
            </w:pPr>
            <w:r>
              <w:rPr>
                <w:rFonts w:hint="eastAsia" w:ascii="宋体" w:hAnsi="宋体" w:eastAsia="宋体" w:cs="宋体"/>
                <w:kern w:val="0"/>
                <w:sz w:val="18"/>
                <w:szCs w:val="18"/>
              </w:rPr>
              <w:t>6</w:t>
            </w:r>
          </w:p>
        </w:tc>
        <w:tc>
          <w:tcPr>
            <w:tcW w:w="1296" w:type="dxa"/>
            <w:tcBorders>
              <w:top w:val="nil"/>
              <w:left w:val="single" w:color="auto" w:sz="4" w:space="0"/>
              <w:bottom w:val="single" w:color="auto" w:sz="4" w:space="0"/>
              <w:right w:val="single" w:color="auto" w:sz="4" w:space="0"/>
            </w:tcBorders>
            <w:shd w:val="clear" w:color="000000" w:fill="FFFFFF"/>
            <w:noWrap/>
            <w:vAlign w:val="center"/>
          </w:tcPr>
          <w:p w14:paraId="45885D43">
            <w:pPr>
              <w:widowControl/>
              <w:jc w:val="center"/>
              <w:rPr>
                <w:rFonts w:ascii="宋体" w:hAnsi="宋体" w:eastAsia="宋体" w:cs="宋体"/>
                <w:kern w:val="0"/>
                <w:sz w:val="18"/>
                <w:szCs w:val="18"/>
              </w:rPr>
            </w:pPr>
            <w:r>
              <w:rPr>
                <w:rFonts w:hint="eastAsia" w:ascii="宋体" w:hAnsi="宋体" w:eastAsia="宋体" w:cs="宋体"/>
                <w:kern w:val="0"/>
                <w:sz w:val="18"/>
                <w:szCs w:val="18"/>
              </w:rPr>
              <w:t>藏桂乡</w:t>
            </w:r>
          </w:p>
        </w:tc>
        <w:tc>
          <w:tcPr>
            <w:tcW w:w="835" w:type="dxa"/>
            <w:tcBorders>
              <w:top w:val="nil"/>
              <w:left w:val="single" w:color="auto" w:sz="4" w:space="0"/>
              <w:bottom w:val="single" w:color="auto" w:sz="4" w:space="0"/>
              <w:right w:val="single" w:color="auto" w:sz="4" w:space="0"/>
            </w:tcBorders>
            <w:noWrap/>
            <w:vAlign w:val="center"/>
          </w:tcPr>
          <w:p w14:paraId="3695EEA2">
            <w:pPr>
              <w:widowControl/>
              <w:jc w:val="center"/>
              <w:rPr>
                <w:rFonts w:ascii="宋体" w:hAnsi="宋体" w:eastAsia="宋体" w:cs="宋体"/>
                <w:kern w:val="0"/>
                <w:sz w:val="18"/>
                <w:szCs w:val="18"/>
              </w:rPr>
            </w:pPr>
            <w:r>
              <w:rPr>
                <w:rFonts w:hint="eastAsia" w:ascii="宋体" w:hAnsi="宋体" w:eastAsia="宋体" w:cs="宋体"/>
                <w:kern w:val="0"/>
                <w:sz w:val="18"/>
                <w:szCs w:val="18"/>
              </w:rPr>
              <w:t>6.34</w:t>
            </w:r>
          </w:p>
        </w:tc>
        <w:tc>
          <w:tcPr>
            <w:tcW w:w="904" w:type="dxa"/>
            <w:tcBorders>
              <w:top w:val="nil"/>
              <w:left w:val="single" w:color="auto" w:sz="4" w:space="0"/>
              <w:bottom w:val="single" w:color="auto" w:sz="4" w:space="0"/>
              <w:right w:val="single" w:color="auto" w:sz="4" w:space="0"/>
            </w:tcBorders>
            <w:shd w:val="clear" w:color="000000" w:fill="FFFFFF"/>
            <w:noWrap/>
            <w:vAlign w:val="center"/>
          </w:tcPr>
          <w:p w14:paraId="530271FE">
            <w:pPr>
              <w:widowControl/>
              <w:jc w:val="center"/>
              <w:rPr>
                <w:rFonts w:ascii="宋体" w:hAnsi="宋体" w:eastAsia="宋体" w:cs="宋体"/>
                <w:kern w:val="0"/>
                <w:sz w:val="18"/>
                <w:szCs w:val="18"/>
              </w:rPr>
            </w:pPr>
            <w:r>
              <w:rPr>
                <w:rFonts w:ascii="宋体" w:hAnsi="宋体" w:eastAsia="宋体" w:cs="宋体"/>
                <w:kern w:val="0"/>
                <w:sz w:val="18"/>
                <w:szCs w:val="18"/>
              </w:rPr>
              <w:t>1.40</w:t>
            </w:r>
          </w:p>
        </w:tc>
        <w:tc>
          <w:tcPr>
            <w:tcW w:w="776" w:type="dxa"/>
            <w:tcBorders>
              <w:top w:val="nil"/>
              <w:left w:val="single" w:color="auto" w:sz="4" w:space="0"/>
              <w:bottom w:val="single" w:color="auto" w:sz="4" w:space="0"/>
              <w:right w:val="single" w:color="auto" w:sz="4" w:space="0"/>
            </w:tcBorders>
            <w:shd w:val="clear" w:color="000000" w:fill="FFFFFF"/>
            <w:noWrap/>
            <w:vAlign w:val="center"/>
          </w:tcPr>
          <w:p w14:paraId="2774B3C8">
            <w:pPr>
              <w:widowControl/>
              <w:jc w:val="center"/>
              <w:rPr>
                <w:rFonts w:ascii="宋体" w:hAnsi="宋体" w:eastAsia="宋体" w:cs="宋体"/>
                <w:kern w:val="0"/>
                <w:sz w:val="18"/>
                <w:szCs w:val="18"/>
              </w:rPr>
            </w:pPr>
            <w:r>
              <w:rPr>
                <w:rFonts w:ascii="宋体" w:hAnsi="宋体" w:eastAsia="宋体" w:cs="宋体"/>
                <w:kern w:val="0"/>
                <w:sz w:val="18"/>
                <w:szCs w:val="18"/>
              </w:rPr>
              <w:t>0.04</w:t>
            </w:r>
          </w:p>
        </w:tc>
        <w:tc>
          <w:tcPr>
            <w:tcW w:w="979" w:type="dxa"/>
            <w:tcBorders>
              <w:top w:val="nil"/>
              <w:left w:val="single" w:color="auto" w:sz="4" w:space="0"/>
              <w:bottom w:val="single" w:color="auto" w:sz="4" w:space="0"/>
              <w:right w:val="single" w:color="auto" w:sz="4" w:space="0"/>
            </w:tcBorders>
            <w:shd w:val="clear" w:color="000000" w:fill="FFFFFF"/>
            <w:noWrap/>
            <w:vAlign w:val="center"/>
          </w:tcPr>
          <w:p w14:paraId="76E1BACA">
            <w:pPr>
              <w:widowControl/>
              <w:jc w:val="center"/>
              <w:rPr>
                <w:rFonts w:ascii="宋体" w:hAnsi="宋体" w:eastAsia="宋体" w:cs="宋体"/>
                <w:kern w:val="0"/>
                <w:sz w:val="18"/>
                <w:szCs w:val="18"/>
              </w:rPr>
            </w:pPr>
            <w:r>
              <w:rPr>
                <w:rFonts w:ascii="宋体" w:hAnsi="宋体" w:eastAsia="宋体" w:cs="宋体"/>
                <w:kern w:val="0"/>
                <w:sz w:val="18"/>
                <w:szCs w:val="18"/>
              </w:rPr>
              <w:t>1.68</w:t>
            </w:r>
          </w:p>
        </w:tc>
        <w:tc>
          <w:tcPr>
            <w:tcW w:w="838" w:type="dxa"/>
            <w:tcBorders>
              <w:top w:val="nil"/>
              <w:left w:val="single" w:color="auto" w:sz="4" w:space="0"/>
              <w:bottom w:val="single" w:color="auto" w:sz="4" w:space="0"/>
              <w:right w:val="single" w:color="auto" w:sz="4" w:space="0"/>
            </w:tcBorders>
            <w:shd w:val="clear" w:color="000000" w:fill="FFFFFF"/>
            <w:vAlign w:val="center"/>
          </w:tcPr>
          <w:p w14:paraId="020A2351">
            <w:pPr>
              <w:widowControl/>
              <w:jc w:val="center"/>
              <w:rPr>
                <w:rFonts w:ascii="宋体" w:hAnsi="宋体" w:eastAsia="宋体" w:cs="宋体"/>
                <w:kern w:val="0"/>
                <w:sz w:val="18"/>
                <w:szCs w:val="18"/>
              </w:rPr>
            </w:pPr>
            <w:r>
              <w:rPr>
                <w:rFonts w:ascii="宋体" w:hAnsi="宋体" w:eastAsia="宋体" w:cs="宋体"/>
                <w:kern w:val="0"/>
                <w:sz w:val="18"/>
                <w:szCs w:val="18"/>
              </w:rPr>
              <w:t>　</w:t>
            </w:r>
          </w:p>
        </w:tc>
        <w:tc>
          <w:tcPr>
            <w:tcW w:w="797" w:type="dxa"/>
            <w:tcBorders>
              <w:top w:val="nil"/>
              <w:left w:val="single" w:color="auto" w:sz="4" w:space="0"/>
              <w:bottom w:val="single" w:color="auto" w:sz="4" w:space="0"/>
              <w:right w:val="nil"/>
            </w:tcBorders>
            <w:shd w:val="clear" w:color="000000" w:fill="FFFFFF"/>
            <w:vAlign w:val="center"/>
          </w:tcPr>
          <w:p w14:paraId="72116AD6">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926" w:type="dxa"/>
            <w:tcBorders>
              <w:top w:val="nil"/>
              <w:left w:val="single" w:color="auto" w:sz="4" w:space="0"/>
              <w:bottom w:val="single" w:color="auto" w:sz="4" w:space="0"/>
              <w:right w:val="single" w:color="auto" w:sz="4" w:space="0"/>
            </w:tcBorders>
            <w:shd w:val="clear" w:color="000000" w:fill="FFFFFF"/>
            <w:noWrap/>
            <w:vAlign w:val="center"/>
          </w:tcPr>
          <w:p w14:paraId="0C380B46">
            <w:pPr>
              <w:widowControl/>
              <w:jc w:val="center"/>
              <w:rPr>
                <w:rFonts w:ascii="宋体" w:hAnsi="宋体" w:eastAsia="宋体" w:cs="宋体"/>
                <w:kern w:val="0"/>
                <w:sz w:val="18"/>
                <w:szCs w:val="18"/>
              </w:rPr>
            </w:pPr>
            <w:r>
              <w:rPr>
                <w:rFonts w:ascii="宋体" w:hAnsi="宋体" w:eastAsia="宋体" w:cs="宋体"/>
                <w:kern w:val="0"/>
                <w:sz w:val="18"/>
                <w:szCs w:val="18"/>
              </w:rPr>
              <w:t>0.02</w:t>
            </w:r>
          </w:p>
        </w:tc>
      </w:tr>
      <w:tr w14:paraId="7E1EE0B2">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23224640">
            <w:pPr>
              <w:widowControl/>
              <w:jc w:val="center"/>
              <w:rPr>
                <w:rFonts w:ascii="宋体" w:hAnsi="宋体" w:eastAsia="宋体" w:cs="宋体"/>
                <w:kern w:val="0"/>
                <w:sz w:val="18"/>
                <w:szCs w:val="18"/>
              </w:rPr>
            </w:pPr>
            <w:r>
              <w:rPr>
                <w:rFonts w:hint="eastAsia" w:ascii="宋体" w:hAnsi="宋体" w:eastAsia="宋体" w:cs="宋体"/>
                <w:kern w:val="0"/>
                <w:sz w:val="18"/>
                <w:szCs w:val="18"/>
              </w:rPr>
              <w:t>7</w:t>
            </w:r>
          </w:p>
        </w:tc>
        <w:tc>
          <w:tcPr>
            <w:tcW w:w="1296" w:type="dxa"/>
            <w:tcBorders>
              <w:top w:val="nil"/>
              <w:left w:val="single" w:color="auto" w:sz="4" w:space="0"/>
              <w:bottom w:val="single" w:color="auto" w:sz="4" w:space="0"/>
              <w:right w:val="single" w:color="auto" w:sz="4" w:space="0"/>
            </w:tcBorders>
            <w:noWrap/>
            <w:vAlign w:val="center"/>
          </w:tcPr>
          <w:p w14:paraId="670FF9F3">
            <w:pPr>
              <w:widowControl/>
              <w:jc w:val="center"/>
              <w:rPr>
                <w:rFonts w:ascii="宋体" w:hAnsi="宋体" w:eastAsia="宋体" w:cs="宋体"/>
                <w:kern w:val="0"/>
                <w:sz w:val="18"/>
                <w:szCs w:val="18"/>
              </w:rPr>
            </w:pPr>
            <w:r>
              <w:rPr>
                <w:rFonts w:hint="eastAsia" w:ascii="宋体" w:hAnsi="宋体" w:eastAsia="宋体" w:cs="宋体"/>
                <w:kern w:val="0"/>
                <w:sz w:val="18"/>
                <w:szCs w:val="18"/>
              </w:rPr>
              <w:t>皮亚勒玛乡</w:t>
            </w:r>
          </w:p>
        </w:tc>
        <w:tc>
          <w:tcPr>
            <w:tcW w:w="835" w:type="dxa"/>
            <w:tcBorders>
              <w:top w:val="nil"/>
              <w:left w:val="single" w:color="auto" w:sz="4" w:space="0"/>
              <w:bottom w:val="single" w:color="auto" w:sz="4" w:space="0"/>
              <w:right w:val="single" w:color="auto" w:sz="4" w:space="0"/>
            </w:tcBorders>
            <w:noWrap/>
            <w:vAlign w:val="center"/>
          </w:tcPr>
          <w:p w14:paraId="2F3ED833">
            <w:pPr>
              <w:widowControl/>
              <w:jc w:val="center"/>
              <w:rPr>
                <w:rFonts w:ascii="宋体" w:hAnsi="宋体" w:eastAsia="宋体" w:cs="宋体"/>
                <w:kern w:val="0"/>
                <w:sz w:val="18"/>
                <w:szCs w:val="18"/>
              </w:rPr>
            </w:pPr>
            <w:r>
              <w:rPr>
                <w:rFonts w:hint="eastAsia" w:ascii="宋体" w:hAnsi="宋体" w:eastAsia="宋体" w:cs="宋体"/>
                <w:kern w:val="0"/>
                <w:sz w:val="18"/>
                <w:szCs w:val="18"/>
              </w:rPr>
              <w:t>5.60</w:t>
            </w:r>
          </w:p>
        </w:tc>
        <w:tc>
          <w:tcPr>
            <w:tcW w:w="904" w:type="dxa"/>
            <w:tcBorders>
              <w:top w:val="nil"/>
              <w:left w:val="single" w:color="auto" w:sz="4" w:space="0"/>
              <w:bottom w:val="single" w:color="auto" w:sz="4" w:space="0"/>
              <w:right w:val="single" w:color="auto" w:sz="4" w:space="0"/>
            </w:tcBorders>
            <w:shd w:val="clear" w:color="000000" w:fill="FFFFFF"/>
            <w:noWrap/>
            <w:vAlign w:val="center"/>
          </w:tcPr>
          <w:p w14:paraId="7567E2E0">
            <w:pPr>
              <w:widowControl/>
              <w:jc w:val="center"/>
              <w:rPr>
                <w:rFonts w:ascii="宋体" w:hAnsi="宋体" w:eastAsia="宋体" w:cs="宋体"/>
                <w:kern w:val="0"/>
                <w:sz w:val="18"/>
                <w:szCs w:val="18"/>
              </w:rPr>
            </w:pPr>
            <w:r>
              <w:rPr>
                <w:rFonts w:ascii="宋体" w:hAnsi="宋体" w:eastAsia="宋体" w:cs="宋体"/>
                <w:kern w:val="0"/>
                <w:sz w:val="18"/>
                <w:szCs w:val="18"/>
              </w:rPr>
              <w:t>0.66</w:t>
            </w:r>
          </w:p>
        </w:tc>
        <w:tc>
          <w:tcPr>
            <w:tcW w:w="776" w:type="dxa"/>
            <w:tcBorders>
              <w:top w:val="nil"/>
              <w:left w:val="single" w:color="auto" w:sz="4" w:space="0"/>
              <w:bottom w:val="single" w:color="auto" w:sz="4" w:space="0"/>
              <w:right w:val="single" w:color="auto" w:sz="4" w:space="0"/>
            </w:tcBorders>
            <w:noWrap/>
            <w:vAlign w:val="center"/>
          </w:tcPr>
          <w:p w14:paraId="2CFF7608">
            <w:pPr>
              <w:widowControl/>
              <w:jc w:val="center"/>
              <w:rPr>
                <w:rFonts w:ascii="宋体" w:hAnsi="宋体" w:eastAsia="宋体" w:cs="宋体"/>
                <w:kern w:val="0"/>
                <w:sz w:val="18"/>
                <w:szCs w:val="18"/>
              </w:rPr>
            </w:pPr>
            <w:r>
              <w:rPr>
                <w:rFonts w:ascii="宋体" w:hAnsi="宋体" w:eastAsia="宋体" w:cs="宋体"/>
                <w:kern w:val="0"/>
                <w:sz w:val="18"/>
                <w:szCs w:val="18"/>
              </w:rPr>
              <w:t>　</w:t>
            </w:r>
          </w:p>
        </w:tc>
        <w:tc>
          <w:tcPr>
            <w:tcW w:w="979" w:type="dxa"/>
            <w:tcBorders>
              <w:top w:val="nil"/>
              <w:left w:val="single" w:color="auto" w:sz="4" w:space="0"/>
              <w:bottom w:val="single" w:color="auto" w:sz="4" w:space="0"/>
              <w:right w:val="single" w:color="auto" w:sz="4" w:space="0"/>
            </w:tcBorders>
            <w:noWrap/>
            <w:vAlign w:val="center"/>
          </w:tcPr>
          <w:p w14:paraId="6B6289B0">
            <w:pPr>
              <w:widowControl/>
              <w:jc w:val="center"/>
              <w:rPr>
                <w:rFonts w:ascii="宋体" w:hAnsi="宋体" w:eastAsia="宋体" w:cs="宋体"/>
                <w:kern w:val="0"/>
                <w:sz w:val="18"/>
                <w:szCs w:val="18"/>
              </w:rPr>
            </w:pPr>
            <w:r>
              <w:rPr>
                <w:rFonts w:ascii="宋体" w:hAnsi="宋体" w:eastAsia="宋体" w:cs="宋体"/>
                <w:kern w:val="0"/>
                <w:sz w:val="18"/>
                <w:szCs w:val="18"/>
              </w:rPr>
              <w:t>0.15</w:t>
            </w:r>
          </w:p>
        </w:tc>
        <w:tc>
          <w:tcPr>
            <w:tcW w:w="838" w:type="dxa"/>
            <w:tcBorders>
              <w:top w:val="nil"/>
              <w:left w:val="single" w:color="auto" w:sz="4" w:space="0"/>
              <w:bottom w:val="single" w:color="auto" w:sz="4" w:space="0"/>
              <w:right w:val="single" w:color="auto" w:sz="4" w:space="0"/>
            </w:tcBorders>
            <w:vAlign w:val="center"/>
          </w:tcPr>
          <w:p w14:paraId="75AEC8B9">
            <w:pPr>
              <w:widowControl/>
              <w:jc w:val="center"/>
              <w:rPr>
                <w:rFonts w:ascii="宋体" w:hAnsi="宋体" w:eastAsia="宋体" w:cs="宋体"/>
                <w:kern w:val="0"/>
                <w:sz w:val="18"/>
                <w:szCs w:val="18"/>
              </w:rPr>
            </w:pPr>
            <w:r>
              <w:rPr>
                <w:rFonts w:ascii="宋体" w:hAnsi="宋体" w:eastAsia="宋体" w:cs="宋体"/>
                <w:kern w:val="0"/>
                <w:sz w:val="18"/>
                <w:szCs w:val="18"/>
              </w:rPr>
              <w:t>0.01</w:t>
            </w:r>
          </w:p>
        </w:tc>
        <w:tc>
          <w:tcPr>
            <w:tcW w:w="797" w:type="dxa"/>
            <w:tcBorders>
              <w:top w:val="nil"/>
              <w:left w:val="single" w:color="auto" w:sz="4" w:space="0"/>
              <w:bottom w:val="single" w:color="auto" w:sz="4" w:space="0"/>
              <w:right w:val="nil"/>
            </w:tcBorders>
            <w:vAlign w:val="center"/>
          </w:tcPr>
          <w:p w14:paraId="516F06B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926" w:type="dxa"/>
            <w:tcBorders>
              <w:top w:val="nil"/>
              <w:left w:val="single" w:color="auto" w:sz="4" w:space="0"/>
              <w:bottom w:val="single" w:color="auto" w:sz="4" w:space="0"/>
              <w:right w:val="single" w:color="auto" w:sz="4" w:space="0"/>
            </w:tcBorders>
            <w:noWrap/>
            <w:vAlign w:val="center"/>
          </w:tcPr>
          <w:p w14:paraId="66230292">
            <w:pPr>
              <w:widowControl/>
              <w:jc w:val="center"/>
              <w:rPr>
                <w:rFonts w:ascii="宋体" w:hAnsi="宋体" w:eastAsia="宋体" w:cs="宋体"/>
                <w:kern w:val="0"/>
                <w:sz w:val="18"/>
                <w:szCs w:val="18"/>
              </w:rPr>
            </w:pPr>
            <w:r>
              <w:rPr>
                <w:rFonts w:ascii="宋体" w:hAnsi="宋体" w:eastAsia="宋体" w:cs="宋体"/>
                <w:kern w:val="0"/>
                <w:sz w:val="18"/>
                <w:szCs w:val="18"/>
              </w:rPr>
              <w:t>0.00</w:t>
            </w:r>
          </w:p>
        </w:tc>
      </w:tr>
      <w:tr w14:paraId="0A2FA308">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42E76E87">
            <w:pPr>
              <w:widowControl/>
              <w:jc w:val="center"/>
              <w:rPr>
                <w:rFonts w:ascii="宋体" w:hAnsi="宋体" w:eastAsia="宋体" w:cs="宋体"/>
                <w:kern w:val="0"/>
                <w:sz w:val="18"/>
                <w:szCs w:val="18"/>
              </w:rPr>
            </w:pPr>
            <w:r>
              <w:rPr>
                <w:rFonts w:hint="eastAsia" w:ascii="宋体" w:hAnsi="宋体" w:eastAsia="宋体" w:cs="宋体"/>
                <w:kern w:val="0"/>
                <w:sz w:val="18"/>
                <w:szCs w:val="18"/>
              </w:rPr>
              <w:t>8</w:t>
            </w:r>
          </w:p>
        </w:tc>
        <w:tc>
          <w:tcPr>
            <w:tcW w:w="1296" w:type="dxa"/>
            <w:tcBorders>
              <w:top w:val="nil"/>
              <w:left w:val="single" w:color="auto" w:sz="4" w:space="0"/>
              <w:bottom w:val="single" w:color="auto" w:sz="4" w:space="0"/>
              <w:right w:val="single" w:color="auto" w:sz="4" w:space="0"/>
            </w:tcBorders>
            <w:noWrap/>
            <w:vAlign w:val="center"/>
          </w:tcPr>
          <w:p w14:paraId="64503792">
            <w:pPr>
              <w:widowControl/>
              <w:jc w:val="center"/>
              <w:rPr>
                <w:rFonts w:ascii="宋体" w:hAnsi="宋体" w:eastAsia="宋体" w:cs="宋体"/>
                <w:kern w:val="0"/>
                <w:sz w:val="18"/>
                <w:szCs w:val="18"/>
              </w:rPr>
            </w:pPr>
            <w:r>
              <w:rPr>
                <w:rFonts w:hint="eastAsia" w:ascii="宋体" w:hAnsi="宋体" w:eastAsia="宋体" w:cs="宋体"/>
                <w:kern w:val="0"/>
                <w:sz w:val="18"/>
                <w:szCs w:val="18"/>
              </w:rPr>
              <w:t>杜瓦镇</w:t>
            </w:r>
          </w:p>
        </w:tc>
        <w:tc>
          <w:tcPr>
            <w:tcW w:w="835" w:type="dxa"/>
            <w:tcBorders>
              <w:top w:val="nil"/>
              <w:left w:val="single" w:color="auto" w:sz="4" w:space="0"/>
              <w:bottom w:val="single" w:color="auto" w:sz="4" w:space="0"/>
              <w:right w:val="single" w:color="auto" w:sz="4" w:space="0"/>
            </w:tcBorders>
            <w:noWrap/>
            <w:vAlign w:val="center"/>
          </w:tcPr>
          <w:p w14:paraId="7360F0F4">
            <w:pPr>
              <w:widowControl/>
              <w:jc w:val="center"/>
              <w:rPr>
                <w:rFonts w:ascii="宋体" w:hAnsi="宋体" w:eastAsia="宋体" w:cs="宋体"/>
                <w:kern w:val="0"/>
                <w:sz w:val="18"/>
                <w:szCs w:val="18"/>
              </w:rPr>
            </w:pPr>
            <w:r>
              <w:rPr>
                <w:rFonts w:hint="eastAsia" w:ascii="宋体" w:hAnsi="宋体" w:eastAsia="宋体" w:cs="宋体"/>
                <w:kern w:val="0"/>
                <w:sz w:val="18"/>
                <w:szCs w:val="18"/>
              </w:rPr>
              <w:t>1.09</w:t>
            </w:r>
          </w:p>
        </w:tc>
        <w:tc>
          <w:tcPr>
            <w:tcW w:w="904" w:type="dxa"/>
            <w:tcBorders>
              <w:top w:val="nil"/>
              <w:left w:val="single" w:color="auto" w:sz="4" w:space="0"/>
              <w:bottom w:val="single" w:color="auto" w:sz="4" w:space="0"/>
              <w:right w:val="single" w:color="auto" w:sz="4" w:space="0"/>
            </w:tcBorders>
            <w:shd w:val="clear" w:color="000000" w:fill="FFFFFF"/>
            <w:noWrap/>
            <w:vAlign w:val="center"/>
          </w:tcPr>
          <w:p w14:paraId="3FAEAC9B">
            <w:pPr>
              <w:widowControl/>
              <w:jc w:val="center"/>
              <w:rPr>
                <w:rFonts w:ascii="宋体" w:hAnsi="宋体" w:eastAsia="宋体" w:cs="宋体"/>
                <w:kern w:val="0"/>
                <w:sz w:val="18"/>
                <w:szCs w:val="18"/>
              </w:rPr>
            </w:pPr>
            <w:r>
              <w:rPr>
                <w:rFonts w:ascii="宋体" w:hAnsi="宋体" w:eastAsia="宋体" w:cs="宋体"/>
                <w:kern w:val="0"/>
                <w:sz w:val="18"/>
                <w:szCs w:val="18"/>
              </w:rPr>
              <w:t>0.60</w:t>
            </w:r>
          </w:p>
        </w:tc>
        <w:tc>
          <w:tcPr>
            <w:tcW w:w="776" w:type="dxa"/>
            <w:tcBorders>
              <w:top w:val="nil"/>
              <w:left w:val="single" w:color="auto" w:sz="4" w:space="0"/>
              <w:bottom w:val="single" w:color="auto" w:sz="4" w:space="0"/>
              <w:right w:val="single" w:color="auto" w:sz="4" w:space="0"/>
            </w:tcBorders>
            <w:noWrap/>
            <w:vAlign w:val="center"/>
          </w:tcPr>
          <w:p w14:paraId="4FDCFB6B">
            <w:pPr>
              <w:widowControl/>
              <w:jc w:val="center"/>
              <w:rPr>
                <w:rFonts w:ascii="宋体" w:hAnsi="宋体" w:eastAsia="宋体" w:cs="宋体"/>
                <w:kern w:val="0"/>
                <w:sz w:val="18"/>
                <w:szCs w:val="18"/>
              </w:rPr>
            </w:pPr>
            <w:r>
              <w:rPr>
                <w:rFonts w:ascii="宋体" w:hAnsi="宋体" w:eastAsia="宋体" w:cs="宋体"/>
                <w:kern w:val="0"/>
                <w:sz w:val="18"/>
                <w:szCs w:val="18"/>
              </w:rPr>
              <w:t>　</w:t>
            </w:r>
          </w:p>
        </w:tc>
        <w:tc>
          <w:tcPr>
            <w:tcW w:w="979" w:type="dxa"/>
            <w:tcBorders>
              <w:top w:val="nil"/>
              <w:left w:val="single" w:color="auto" w:sz="4" w:space="0"/>
              <w:bottom w:val="single" w:color="auto" w:sz="4" w:space="0"/>
              <w:right w:val="single" w:color="auto" w:sz="4" w:space="0"/>
            </w:tcBorders>
            <w:noWrap/>
            <w:vAlign w:val="center"/>
          </w:tcPr>
          <w:p w14:paraId="5690999B">
            <w:pPr>
              <w:widowControl/>
              <w:jc w:val="center"/>
              <w:rPr>
                <w:rFonts w:ascii="宋体" w:hAnsi="宋体" w:eastAsia="宋体" w:cs="宋体"/>
                <w:kern w:val="0"/>
                <w:sz w:val="18"/>
                <w:szCs w:val="18"/>
              </w:rPr>
            </w:pPr>
            <w:r>
              <w:rPr>
                <w:rFonts w:ascii="宋体" w:hAnsi="宋体" w:eastAsia="宋体" w:cs="宋体"/>
                <w:kern w:val="0"/>
                <w:sz w:val="18"/>
                <w:szCs w:val="18"/>
              </w:rPr>
              <w:t>0.46</w:t>
            </w:r>
          </w:p>
        </w:tc>
        <w:tc>
          <w:tcPr>
            <w:tcW w:w="838" w:type="dxa"/>
            <w:tcBorders>
              <w:top w:val="nil"/>
              <w:left w:val="single" w:color="auto" w:sz="4" w:space="0"/>
              <w:bottom w:val="single" w:color="auto" w:sz="4" w:space="0"/>
              <w:right w:val="single" w:color="auto" w:sz="4" w:space="0"/>
            </w:tcBorders>
            <w:vAlign w:val="center"/>
          </w:tcPr>
          <w:p w14:paraId="7FBD4CEC">
            <w:pPr>
              <w:widowControl/>
              <w:jc w:val="center"/>
              <w:rPr>
                <w:rFonts w:ascii="宋体" w:hAnsi="宋体" w:eastAsia="宋体" w:cs="宋体"/>
                <w:kern w:val="0"/>
                <w:sz w:val="18"/>
                <w:szCs w:val="18"/>
              </w:rPr>
            </w:pPr>
            <w:r>
              <w:rPr>
                <w:rFonts w:ascii="宋体" w:hAnsi="宋体" w:eastAsia="宋体" w:cs="宋体"/>
                <w:kern w:val="0"/>
                <w:sz w:val="18"/>
                <w:szCs w:val="18"/>
              </w:rPr>
              <w:t>　</w:t>
            </w:r>
          </w:p>
        </w:tc>
        <w:tc>
          <w:tcPr>
            <w:tcW w:w="797" w:type="dxa"/>
            <w:tcBorders>
              <w:top w:val="nil"/>
              <w:left w:val="single" w:color="auto" w:sz="4" w:space="0"/>
              <w:bottom w:val="single" w:color="auto" w:sz="4" w:space="0"/>
              <w:right w:val="nil"/>
            </w:tcBorders>
            <w:vAlign w:val="center"/>
          </w:tcPr>
          <w:p w14:paraId="40F99A29">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926" w:type="dxa"/>
            <w:tcBorders>
              <w:top w:val="nil"/>
              <w:left w:val="single" w:color="auto" w:sz="4" w:space="0"/>
              <w:bottom w:val="single" w:color="auto" w:sz="4" w:space="0"/>
              <w:right w:val="single" w:color="auto" w:sz="4" w:space="0"/>
            </w:tcBorders>
            <w:noWrap/>
            <w:vAlign w:val="center"/>
          </w:tcPr>
          <w:p w14:paraId="0C1C67F5">
            <w:pPr>
              <w:widowControl/>
              <w:jc w:val="center"/>
              <w:rPr>
                <w:rFonts w:ascii="宋体" w:hAnsi="宋体" w:eastAsia="宋体" w:cs="宋体"/>
                <w:kern w:val="0"/>
                <w:sz w:val="18"/>
                <w:szCs w:val="18"/>
              </w:rPr>
            </w:pPr>
            <w:r>
              <w:rPr>
                <w:rFonts w:ascii="宋体" w:hAnsi="宋体" w:eastAsia="宋体" w:cs="宋体"/>
                <w:kern w:val="0"/>
                <w:sz w:val="18"/>
                <w:szCs w:val="18"/>
              </w:rPr>
              <w:t>0.03</w:t>
            </w:r>
          </w:p>
        </w:tc>
      </w:tr>
      <w:tr w14:paraId="385A6028">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6F4B3551">
            <w:pPr>
              <w:widowControl/>
              <w:jc w:val="center"/>
              <w:rPr>
                <w:rFonts w:ascii="宋体" w:hAnsi="宋体" w:eastAsia="宋体" w:cs="宋体"/>
                <w:kern w:val="0"/>
                <w:sz w:val="18"/>
                <w:szCs w:val="18"/>
              </w:rPr>
            </w:pPr>
            <w:r>
              <w:rPr>
                <w:rFonts w:hint="eastAsia" w:ascii="宋体" w:hAnsi="宋体" w:eastAsia="宋体" w:cs="宋体"/>
                <w:kern w:val="0"/>
                <w:sz w:val="18"/>
                <w:szCs w:val="18"/>
              </w:rPr>
              <w:t>9</w:t>
            </w:r>
          </w:p>
        </w:tc>
        <w:tc>
          <w:tcPr>
            <w:tcW w:w="1296" w:type="dxa"/>
            <w:tcBorders>
              <w:top w:val="nil"/>
              <w:left w:val="single" w:color="auto" w:sz="4" w:space="0"/>
              <w:bottom w:val="single" w:color="auto" w:sz="4" w:space="0"/>
              <w:right w:val="single" w:color="auto" w:sz="4" w:space="0"/>
            </w:tcBorders>
            <w:shd w:val="clear" w:color="000000" w:fill="FFFFFF"/>
            <w:noWrap/>
            <w:vAlign w:val="center"/>
          </w:tcPr>
          <w:p w14:paraId="6BAFE705">
            <w:pPr>
              <w:widowControl/>
              <w:jc w:val="center"/>
              <w:rPr>
                <w:rFonts w:ascii="宋体" w:hAnsi="宋体" w:eastAsia="宋体" w:cs="宋体"/>
                <w:kern w:val="0"/>
                <w:sz w:val="18"/>
                <w:szCs w:val="18"/>
              </w:rPr>
            </w:pPr>
            <w:r>
              <w:rPr>
                <w:rFonts w:hint="eastAsia" w:ascii="宋体" w:hAnsi="宋体" w:eastAsia="宋体" w:cs="宋体"/>
                <w:kern w:val="0"/>
                <w:sz w:val="18"/>
                <w:szCs w:val="18"/>
              </w:rPr>
              <w:t>桑株镇</w:t>
            </w:r>
          </w:p>
        </w:tc>
        <w:tc>
          <w:tcPr>
            <w:tcW w:w="835" w:type="dxa"/>
            <w:tcBorders>
              <w:top w:val="nil"/>
              <w:left w:val="single" w:color="auto" w:sz="4" w:space="0"/>
              <w:bottom w:val="single" w:color="auto" w:sz="4" w:space="0"/>
              <w:right w:val="single" w:color="auto" w:sz="4" w:space="0"/>
            </w:tcBorders>
            <w:noWrap/>
            <w:vAlign w:val="center"/>
          </w:tcPr>
          <w:p w14:paraId="3E9013FB">
            <w:pPr>
              <w:widowControl/>
              <w:jc w:val="center"/>
              <w:rPr>
                <w:rFonts w:ascii="宋体" w:hAnsi="宋体" w:eastAsia="宋体" w:cs="宋体"/>
                <w:kern w:val="0"/>
                <w:sz w:val="18"/>
                <w:szCs w:val="18"/>
              </w:rPr>
            </w:pPr>
            <w:r>
              <w:rPr>
                <w:rFonts w:hint="eastAsia" w:ascii="宋体" w:hAnsi="宋体" w:eastAsia="宋体" w:cs="宋体"/>
                <w:kern w:val="0"/>
                <w:sz w:val="18"/>
                <w:szCs w:val="18"/>
              </w:rPr>
              <w:t>5.23</w:t>
            </w:r>
          </w:p>
        </w:tc>
        <w:tc>
          <w:tcPr>
            <w:tcW w:w="904" w:type="dxa"/>
            <w:tcBorders>
              <w:top w:val="nil"/>
              <w:left w:val="single" w:color="auto" w:sz="4" w:space="0"/>
              <w:bottom w:val="single" w:color="auto" w:sz="4" w:space="0"/>
              <w:right w:val="single" w:color="auto" w:sz="4" w:space="0"/>
            </w:tcBorders>
            <w:shd w:val="clear" w:color="000000" w:fill="FFFFFF"/>
            <w:noWrap/>
            <w:vAlign w:val="center"/>
          </w:tcPr>
          <w:p w14:paraId="6E13D1F0">
            <w:pPr>
              <w:widowControl/>
              <w:jc w:val="center"/>
              <w:rPr>
                <w:rFonts w:ascii="宋体" w:hAnsi="宋体" w:eastAsia="宋体" w:cs="宋体"/>
                <w:kern w:val="0"/>
                <w:sz w:val="18"/>
                <w:szCs w:val="18"/>
              </w:rPr>
            </w:pPr>
            <w:r>
              <w:rPr>
                <w:rFonts w:ascii="宋体" w:hAnsi="宋体" w:eastAsia="宋体" w:cs="宋体"/>
                <w:kern w:val="0"/>
                <w:sz w:val="18"/>
                <w:szCs w:val="18"/>
              </w:rPr>
              <w:t>2.15</w:t>
            </w:r>
          </w:p>
        </w:tc>
        <w:tc>
          <w:tcPr>
            <w:tcW w:w="776" w:type="dxa"/>
            <w:tcBorders>
              <w:top w:val="nil"/>
              <w:left w:val="single" w:color="auto" w:sz="4" w:space="0"/>
              <w:bottom w:val="single" w:color="auto" w:sz="4" w:space="0"/>
              <w:right w:val="single" w:color="auto" w:sz="4" w:space="0"/>
            </w:tcBorders>
            <w:shd w:val="clear" w:color="000000" w:fill="FFFFFF"/>
            <w:noWrap/>
            <w:vAlign w:val="center"/>
          </w:tcPr>
          <w:p w14:paraId="4B70B2AC">
            <w:pPr>
              <w:widowControl/>
              <w:jc w:val="center"/>
              <w:rPr>
                <w:rFonts w:ascii="宋体" w:hAnsi="宋体" w:eastAsia="宋体" w:cs="宋体"/>
                <w:kern w:val="0"/>
                <w:sz w:val="18"/>
                <w:szCs w:val="18"/>
              </w:rPr>
            </w:pPr>
            <w:r>
              <w:rPr>
                <w:rFonts w:ascii="宋体" w:hAnsi="宋体" w:eastAsia="宋体" w:cs="宋体"/>
                <w:kern w:val="0"/>
                <w:sz w:val="18"/>
                <w:szCs w:val="18"/>
              </w:rPr>
              <w:t>0.03</w:t>
            </w:r>
          </w:p>
        </w:tc>
        <w:tc>
          <w:tcPr>
            <w:tcW w:w="979" w:type="dxa"/>
            <w:tcBorders>
              <w:top w:val="nil"/>
              <w:left w:val="single" w:color="auto" w:sz="4" w:space="0"/>
              <w:bottom w:val="single" w:color="auto" w:sz="4" w:space="0"/>
              <w:right w:val="single" w:color="auto" w:sz="4" w:space="0"/>
            </w:tcBorders>
            <w:shd w:val="clear" w:color="000000" w:fill="FFFFFF"/>
            <w:noWrap/>
            <w:vAlign w:val="center"/>
          </w:tcPr>
          <w:p w14:paraId="2AFE1E85">
            <w:pPr>
              <w:widowControl/>
              <w:jc w:val="center"/>
              <w:rPr>
                <w:rFonts w:ascii="宋体" w:hAnsi="宋体" w:eastAsia="宋体" w:cs="宋体"/>
                <w:kern w:val="0"/>
                <w:sz w:val="18"/>
                <w:szCs w:val="18"/>
              </w:rPr>
            </w:pPr>
            <w:r>
              <w:rPr>
                <w:rFonts w:ascii="宋体" w:hAnsi="宋体" w:eastAsia="宋体" w:cs="宋体"/>
                <w:kern w:val="0"/>
                <w:sz w:val="18"/>
                <w:szCs w:val="18"/>
              </w:rPr>
              <w:t>2.78</w:t>
            </w:r>
          </w:p>
        </w:tc>
        <w:tc>
          <w:tcPr>
            <w:tcW w:w="838" w:type="dxa"/>
            <w:tcBorders>
              <w:top w:val="nil"/>
              <w:left w:val="single" w:color="auto" w:sz="4" w:space="0"/>
              <w:bottom w:val="single" w:color="auto" w:sz="4" w:space="0"/>
              <w:right w:val="single" w:color="auto" w:sz="4" w:space="0"/>
            </w:tcBorders>
            <w:shd w:val="clear" w:color="000000" w:fill="FFFFFF"/>
            <w:vAlign w:val="center"/>
          </w:tcPr>
          <w:p w14:paraId="05C55AEB">
            <w:pPr>
              <w:widowControl/>
              <w:jc w:val="center"/>
              <w:rPr>
                <w:rFonts w:ascii="宋体" w:hAnsi="宋体" w:eastAsia="宋体" w:cs="宋体"/>
                <w:kern w:val="0"/>
                <w:sz w:val="18"/>
                <w:szCs w:val="18"/>
              </w:rPr>
            </w:pPr>
            <w:r>
              <w:rPr>
                <w:rFonts w:ascii="宋体" w:hAnsi="宋体" w:eastAsia="宋体" w:cs="宋体"/>
                <w:kern w:val="0"/>
                <w:sz w:val="18"/>
                <w:szCs w:val="18"/>
              </w:rPr>
              <w:t>0.04</w:t>
            </w:r>
          </w:p>
        </w:tc>
        <w:tc>
          <w:tcPr>
            <w:tcW w:w="797" w:type="dxa"/>
            <w:tcBorders>
              <w:top w:val="nil"/>
              <w:left w:val="single" w:color="auto" w:sz="4" w:space="0"/>
              <w:bottom w:val="single" w:color="auto" w:sz="4" w:space="0"/>
              <w:right w:val="nil"/>
            </w:tcBorders>
            <w:shd w:val="clear" w:color="000000" w:fill="FFFFFF"/>
            <w:vAlign w:val="center"/>
          </w:tcPr>
          <w:p w14:paraId="00474FB7">
            <w:pPr>
              <w:widowControl/>
              <w:jc w:val="center"/>
              <w:rPr>
                <w:rFonts w:ascii="宋体" w:hAnsi="宋体" w:eastAsia="宋体" w:cs="宋体"/>
                <w:kern w:val="0"/>
                <w:sz w:val="18"/>
                <w:szCs w:val="18"/>
              </w:rPr>
            </w:pPr>
          </w:p>
        </w:tc>
        <w:tc>
          <w:tcPr>
            <w:tcW w:w="926" w:type="dxa"/>
            <w:tcBorders>
              <w:top w:val="nil"/>
              <w:left w:val="single" w:color="auto" w:sz="4" w:space="0"/>
              <w:bottom w:val="single" w:color="auto" w:sz="4" w:space="0"/>
              <w:right w:val="single" w:color="auto" w:sz="4" w:space="0"/>
            </w:tcBorders>
            <w:shd w:val="clear" w:color="000000" w:fill="FFFFFF"/>
            <w:noWrap/>
            <w:vAlign w:val="center"/>
          </w:tcPr>
          <w:p w14:paraId="3CE9A88D">
            <w:pPr>
              <w:widowControl/>
              <w:jc w:val="center"/>
              <w:rPr>
                <w:rFonts w:ascii="宋体" w:hAnsi="宋体" w:eastAsia="宋体" w:cs="宋体"/>
                <w:kern w:val="0"/>
                <w:sz w:val="18"/>
                <w:szCs w:val="18"/>
              </w:rPr>
            </w:pPr>
            <w:r>
              <w:rPr>
                <w:rFonts w:ascii="宋体" w:hAnsi="宋体" w:eastAsia="宋体" w:cs="宋体"/>
                <w:kern w:val="0"/>
                <w:sz w:val="18"/>
                <w:szCs w:val="18"/>
              </w:rPr>
              <w:t>0.22</w:t>
            </w:r>
          </w:p>
        </w:tc>
      </w:tr>
      <w:tr w14:paraId="3D1DD054">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745A1585">
            <w:pPr>
              <w:widowControl/>
              <w:jc w:val="center"/>
              <w:rPr>
                <w:rFonts w:ascii="宋体" w:hAnsi="宋体" w:eastAsia="宋体" w:cs="宋体"/>
                <w:kern w:val="0"/>
                <w:sz w:val="18"/>
                <w:szCs w:val="18"/>
              </w:rPr>
            </w:pPr>
            <w:r>
              <w:rPr>
                <w:rFonts w:hint="eastAsia" w:ascii="宋体" w:hAnsi="宋体" w:eastAsia="宋体" w:cs="宋体"/>
                <w:kern w:val="0"/>
                <w:sz w:val="18"/>
                <w:szCs w:val="18"/>
              </w:rPr>
              <w:t>10</w:t>
            </w:r>
          </w:p>
        </w:tc>
        <w:tc>
          <w:tcPr>
            <w:tcW w:w="1296" w:type="dxa"/>
            <w:tcBorders>
              <w:top w:val="nil"/>
              <w:left w:val="single" w:color="auto" w:sz="4" w:space="0"/>
              <w:bottom w:val="single" w:color="auto" w:sz="4" w:space="0"/>
              <w:right w:val="single" w:color="auto" w:sz="4" w:space="0"/>
            </w:tcBorders>
            <w:noWrap/>
            <w:vAlign w:val="center"/>
          </w:tcPr>
          <w:p w14:paraId="4FAB30E6">
            <w:pPr>
              <w:widowControl/>
              <w:jc w:val="center"/>
              <w:rPr>
                <w:rFonts w:ascii="宋体" w:hAnsi="宋体" w:eastAsia="宋体" w:cs="宋体"/>
                <w:kern w:val="0"/>
                <w:sz w:val="18"/>
                <w:szCs w:val="18"/>
              </w:rPr>
            </w:pPr>
            <w:r>
              <w:rPr>
                <w:rFonts w:hint="eastAsia" w:ascii="宋体" w:hAnsi="宋体" w:eastAsia="宋体" w:cs="宋体"/>
                <w:kern w:val="0"/>
                <w:sz w:val="18"/>
                <w:szCs w:val="18"/>
              </w:rPr>
              <w:t>阔什塔格镇</w:t>
            </w:r>
          </w:p>
        </w:tc>
        <w:tc>
          <w:tcPr>
            <w:tcW w:w="835" w:type="dxa"/>
            <w:tcBorders>
              <w:top w:val="nil"/>
              <w:left w:val="single" w:color="auto" w:sz="4" w:space="0"/>
              <w:bottom w:val="single" w:color="auto" w:sz="4" w:space="0"/>
              <w:right w:val="single" w:color="auto" w:sz="4" w:space="0"/>
            </w:tcBorders>
            <w:noWrap/>
            <w:vAlign w:val="center"/>
          </w:tcPr>
          <w:p w14:paraId="2D5018DE">
            <w:pPr>
              <w:widowControl/>
              <w:jc w:val="center"/>
              <w:rPr>
                <w:rFonts w:ascii="宋体" w:hAnsi="宋体" w:eastAsia="宋体" w:cs="宋体"/>
                <w:kern w:val="0"/>
                <w:sz w:val="18"/>
                <w:szCs w:val="18"/>
              </w:rPr>
            </w:pPr>
            <w:r>
              <w:rPr>
                <w:rFonts w:hint="eastAsia" w:ascii="宋体" w:hAnsi="宋体" w:eastAsia="宋体" w:cs="宋体"/>
                <w:kern w:val="0"/>
                <w:sz w:val="18"/>
                <w:szCs w:val="18"/>
              </w:rPr>
              <w:t>3.98</w:t>
            </w:r>
          </w:p>
        </w:tc>
        <w:tc>
          <w:tcPr>
            <w:tcW w:w="904" w:type="dxa"/>
            <w:tcBorders>
              <w:top w:val="nil"/>
              <w:left w:val="single" w:color="auto" w:sz="4" w:space="0"/>
              <w:bottom w:val="single" w:color="auto" w:sz="4" w:space="0"/>
              <w:right w:val="single" w:color="auto" w:sz="4" w:space="0"/>
            </w:tcBorders>
            <w:shd w:val="clear" w:color="000000" w:fill="FFFFFF"/>
            <w:noWrap/>
            <w:vAlign w:val="center"/>
          </w:tcPr>
          <w:p w14:paraId="2F2FB4C9">
            <w:pPr>
              <w:widowControl/>
              <w:jc w:val="center"/>
              <w:rPr>
                <w:rFonts w:ascii="宋体" w:hAnsi="宋体" w:eastAsia="宋体" w:cs="宋体"/>
                <w:kern w:val="0"/>
                <w:sz w:val="18"/>
                <w:szCs w:val="18"/>
              </w:rPr>
            </w:pPr>
            <w:r>
              <w:rPr>
                <w:rFonts w:ascii="宋体" w:hAnsi="宋体" w:eastAsia="宋体" w:cs="宋体"/>
                <w:kern w:val="0"/>
                <w:sz w:val="18"/>
                <w:szCs w:val="18"/>
              </w:rPr>
              <w:t>1.50</w:t>
            </w:r>
          </w:p>
        </w:tc>
        <w:tc>
          <w:tcPr>
            <w:tcW w:w="776" w:type="dxa"/>
            <w:tcBorders>
              <w:top w:val="nil"/>
              <w:left w:val="single" w:color="auto" w:sz="4" w:space="0"/>
              <w:bottom w:val="single" w:color="auto" w:sz="4" w:space="0"/>
              <w:right w:val="single" w:color="auto" w:sz="4" w:space="0"/>
            </w:tcBorders>
            <w:noWrap/>
            <w:vAlign w:val="center"/>
          </w:tcPr>
          <w:p w14:paraId="2FE6FB2E">
            <w:pPr>
              <w:widowControl/>
              <w:jc w:val="center"/>
              <w:rPr>
                <w:rFonts w:ascii="宋体" w:hAnsi="宋体" w:eastAsia="宋体" w:cs="宋体"/>
                <w:kern w:val="0"/>
                <w:sz w:val="18"/>
                <w:szCs w:val="18"/>
              </w:rPr>
            </w:pPr>
            <w:r>
              <w:rPr>
                <w:rFonts w:ascii="宋体" w:hAnsi="宋体" w:eastAsia="宋体" w:cs="宋体"/>
                <w:kern w:val="0"/>
                <w:sz w:val="18"/>
                <w:szCs w:val="18"/>
              </w:rPr>
              <w:t>0.01</w:t>
            </w:r>
          </w:p>
        </w:tc>
        <w:tc>
          <w:tcPr>
            <w:tcW w:w="979" w:type="dxa"/>
            <w:tcBorders>
              <w:top w:val="nil"/>
              <w:left w:val="single" w:color="auto" w:sz="4" w:space="0"/>
              <w:bottom w:val="single" w:color="auto" w:sz="4" w:space="0"/>
              <w:right w:val="single" w:color="auto" w:sz="4" w:space="0"/>
            </w:tcBorders>
            <w:noWrap/>
            <w:vAlign w:val="center"/>
          </w:tcPr>
          <w:p w14:paraId="0535479B">
            <w:pPr>
              <w:widowControl/>
              <w:jc w:val="center"/>
              <w:rPr>
                <w:rFonts w:ascii="宋体" w:hAnsi="宋体" w:eastAsia="宋体" w:cs="宋体"/>
                <w:kern w:val="0"/>
                <w:sz w:val="18"/>
                <w:szCs w:val="18"/>
              </w:rPr>
            </w:pPr>
            <w:r>
              <w:rPr>
                <w:rFonts w:ascii="宋体" w:hAnsi="宋体" w:eastAsia="宋体" w:cs="宋体"/>
                <w:kern w:val="0"/>
                <w:sz w:val="18"/>
                <w:szCs w:val="18"/>
              </w:rPr>
              <w:t>2.15</w:t>
            </w:r>
          </w:p>
        </w:tc>
        <w:tc>
          <w:tcPr>
            <w:tcW w:w="838" w:type="dxa"/>
            <w:tcBorders>
              <w:top w:val="nil"/>
              <w:left w:val="single" w:color="auto" w:sz="4" w:space="0"/>
              <w:bottom w:val="single" w:color="auto" w:sz="4" w:space="0"/>
              <w:right w:val="single" w:color="auto" w:sz="4" w:space="0"/>
            </w:tcBorders>
            <w:vAlign w:val="center"/>
          </w:tcPr>
          <w:p w14:paraId="49B3A156">
            <w:pPr>
              <w:widowControl/>
              <w:jc w:val="center"/>
              <w:rPr>
                <w:rFonts w:ascii="宋体" w:hAnsi="宋体" w:eastAsia="宋体" w:cs="宋体"/>
                <w:kern w:val="0"/>
                <w:sz w:val="18"/>
                <w:szCs w:val="18"/>
              </w:rPr>
            </w:pPr>
          </w:p>
        </w:tc>
        <w:tc>
          <w:tcPr>
            <w:tcW w:w="797" w:type="dxa"/>
            <w:tcBorders>
              <w:top w:val="nil"/>
              <w:left w:val="single" w:color="auto" w:sz="4" w:space="0"/>
              <w:bottom w:val="single" w:color="auto" w:sz="4" w:space="0"/>
              <w:right w:val="nil"/>
            </w:tcBorders>
            <w:vAlign w:val="center"/>
          </w:tcPr>
          <w:p w14:paraId="70187801">
            <w:pPr>
              <w:widowControl/>
              <w:jc w:val="center"/>
              <w:rPr>
                <w:rFonts w:ascii="宋体" w:hAnsi="宋体" w:eastAsia="宋体" w:cs="宋体"/>
                <w:kern w:val="0"/>
                <w:sz w:val="18"/>
                <w:szCs w:val="18"/>
              </w:rPr>
            </w:pPr>
          </w:p>
        </w:tc>
        <w:tc>
          <w:tcPr>
            <w:tcW w:w="926" w:type="dxa"/>
            <w:tcBorders>
              <w:top w:val="nil"/>
              <w:left w:val="single" w:color="auto" w:sz="4" w:space="0"/>
              <w:bottom w:val="single" w:color="auto" w:sz="4" w:space="0"/>
              <w:right w:val="single" w:color="auto" w:sz="4" w:space="0"/>
            </w:tcBorders>
            <w:noWrap/>
            <w:vAlign w:val="center"/>
          </w:tcPr>
          <w:p w14:paraId="3085D9E0">
            <w:pPr>
              <w:widowControl/>
              <w:jc w:val="center"/>
              <w:rPr>
                <w:rFonts w:ascii="宋体" w:hAnsi="宋体" w:eastAsia="宋体" w:cs="宋体"/>
                <w:kern w:val="0"/>
                <w:sz w:val="18"/>
                <w:szCs w:val="18"/>
              </w:rPr>
            </w:pPr>
            <w:r>
              <w:rPr>
                <w:rFonts w:ascii="宋体" w:hAnsi="宋体" w:eastAsia="宋体" w:cs="宋体"/>
                <w:kern w:val="0"/>
                <w:sz w:val="18"/>
                <w:szCs w:val="18"/>
              </w:rPr>
              <w:t>0.31</w:t>
            </w:r>
          </w:p>
        </w:tc>
      </w:tr>
      <w:tr w14:paraId="6720BADA">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5F216721">
            <w:pPr>
              <w:widowControl/>
              <w:jc w:val="center"/>
              <w:rPr>
                <w:rFonts w:ascii="宋体" w:hAnsi="宋体" w:eastAsia="宋体" w:cs="宋体"/>
                <w:kern w:val="0"/>
                <w:sz w:val="18"/>
                <w:szCs w:val="18"/>
              </w:rPr>
            </w:pPr>
            <w:r>
              <w:rPr>
                <w:rFonts w:hint="eastAsia" w:ascii="宋体" w:hAnsi="宋体" w:eastAsia="宋体" w:cs="宋体"/>
                <w:kern w:val="0"/>
                <w:sz w:val="18"/>
                <w:szCs w:val="18"/>
              </w:rPr>
              <w:t>11</w:t>
            </w:r>
          </w:p>
        </w:tc>
        <w:tc>
          <w:tcPr>
            <w:tcW w:w="1296" w:type="dxa"/>
            <w:tcBorders>
              <w:top w:val="nil"/>
              <w:left w:val="single" w:color="auto" w:sz="4" w:space="0"/>
              <w:bottom w:val="single" w:color="auto" w:sz="4" w:space="0"/>
              <w:right w:val="single" w:color="auto" w:sz="4" w:space="0"/>
            </w:tcBorders>
            <w:noWrap/>
            <w:vAlign w:val="center"/>
          </w:tcPr>
          <w:p w14:paraId="51C6EDDF">
            <w:pPr>
              <w:widowControl/>
              <w:jc w:val="center"/>
              <w:rPr>
                <w:rFonts w:ascii="宋体" w:hAnsi="宋体" w:eastAsia="宋体" w:cs="宋体"/>
                <w:kern w:val="0"/>
                <w:sz w:val="18"/>
                <w:szCs w:val="18"/>
              </w:rPr>
            </w:pPr>
            <w:r>
              <w:rPr>
                <w:rFonts w:hint="eastAsia" w:ascii="宋体" w:hAnsi="宋体" w:eastAsia="宋体" w:cs="宋体"/>
                <w:kern w:val="0"/>
                <w:sz w:val="18"/>
                <w:szCs w:val="18"/>
              </w:rPr>
              <w:t>皮西那乡</w:t>
            </w:r>
          </w:p>
        </w:tc>
        <w:tc>
          <w:tcPr>
            <w:tcW w:w="835" w:type="dxa"/>
            <w:tcBorders>
              <w:top w:val="nil"/>
              <w:left w:val="single" w:color="auto" w:sz="4" w:space="0"/>
              <w:bottom w:val="single" w:color="auto" w:sz="4" w:space="0"/>
              <w:right w:val="single" w:color="auto" w:sz="4" w:space="0"/>
            </w:tcBorders>
            <w:noWrap/>
            <w:vAlign w:val="center"/>
          </w:tcPr>
          <w:p w14:paraId="391F5DCA">
            <w:pPr>
              <w:widowControl/>
              <w:jc w:val="center"/>
              <w:rPr>
                <w:rFonts w:ascii="宋体" w:hAnsi="宋体" w:eastAsia="宋体" w:cs="宋体"/>
                <w:kern w:val="0"/>
                <w:sz w:val="18"/>
                <w:szCs w:val="18"/>
              </w:rPr>
            </w:pPr>
            <w:r>
              <w:rPr>
                <w:rFonts w:hint="eastAsia" w:ascii="宋体" w:hAnsi="宋体" w:eastAsia="宋体" w:cs="宋体"/>
                <w:kern w:val="0"/>
                <w:sz w:val="18"/>
                <w:szCs w:val="18"/>
              </w:rPr>
              <w:t>2.41</w:t>
            </w:r>
          </w:p>
        </w:tc>
        <w:tc>
          <w:tcPr>
            <w:tcW w:w="904" w:type="dxa"/>
            <w:tcBorders>
              <w:top w:val="nil"/>
              <w:left w:val="single" w:color="auto" w:sz="4" w:space="0"/>
              <w:bottom w:val="single" w:color="auto" w:sz="4" w:space="0"/>
              <w:right w:val="single" w:color="auto" w:sz="4" w:space="0"/>
            </w:tcBorders>
            <w:shd w:val="clear" w:color="000000" w:fill="FFFFFF"/>
            <w:noWrap/>
            <w:vAlign w:val="center"/>
          </w:tcPr>
          <w:p w14:paraId="74CBD2E2">
            <w:pPr>
              <w:widowControl/>
              <w:jc w:val="center"/>
              <w:rPr>
                <w:rFonts w:ascii="宋体" w:hAnsi="宋体" w:eastAsia="宋体" w:cs="宋体"/>
                <w:kern w:val="0"/>
                <w:sz w:val="18"/>
                <w:szCs w:val="18"/>
              </w:rPr>
            </w:pPr>
            <w:r>
              <w:rPr>
                <w:rFonts w:ascii="宋体" w:hAnsi="宋体" w:eastAsia="宋体" w:cs="宋体"/>
                <w:kern w:val="0"/>
                <w:sz w:val="18"/>
                <w:szCs w:val="18"/>
              </w:rPr>
              <w:t>0.90</w:t>
            </w:r>
          </w:p>
        </w:tc>
        <w:tc>
          <w:tcPr>
            <w:tcW w:w="776" w:type="dxa"/>
            <w:tcBorders>
              <w:top w:val="nil"/>
              <w:left w:val="single" w:color="auto" w:sz="4" w:space="0"/>
              <w:bottom w:val="single" w:color="auto" w:sz="4" w:space="0"/>
              <w:right w:val="single" w:color="auto" w:sz="4" w:space="0"/>
            </w:tcBorders>
            <w:noWrap/>
            <w:vAlign w:val="center"/>
          </w:tcPr>
          <w:p w14:paraId="0B7A4010">
            <w:pPr>
              <w:widowControl/>
              <w:jc w:val="center"/>
              <w:rPr>
                <w:rFonts w:ascii="宋体" w:hAnsi="宋体" w:eastAsia="宋体" w:cs="宋体"/>
                <w:kern w:val="0"/>
                <w:sz w:val="18"/>
                <w:szCs w:val="18"/>
              </w:rPr>
            </w:pPr>
            <w:r>
              <w:rPr>
                <w:rFonts w:ascii="宋体" w:hAnsi="宋体" w:eastAsia="宋体" w:cs="宋体"/>
                <w:kern w:val="0"/>
                <w:sz w:val="18"/>
                <w:szCs w:val="18"/>
              </w:rPr>
              <w:t>　</w:t>
            </w:r>
          </w:p>
        </w:tc>
        <w:tc>
          <w:tcPr>
            <w:tcW w:w="979" w:type="dxa"/>
            <w:tcBorders>
              <w:top w:val="nil"/>
              <w:left w:val="single" w:color="auto" w:sz="4" w:space="0"/>
              <w:bottom w:val="single" w:color="auto" w:sz="4" w:space="0"/>
              <w:right w:val="single" w:color="auto" w:sz="4" w:space="0"/>
            </w:tcBorders>
            <w:noWrap/>
            <w:vAlign w:val="center"/>
          </w:tcPr>
          <w:p w14:paraId="58C305CB">
            <w:pPr>
              <w:widowControl/>
              <w:jc w:val="center"/>
              <w:rPr>
                <w:rFonts w:ascii="宋体" w:hAnsi="宋体" w:eastAsia="宋体" w:cs="宋体"/>
                <w:kern w:val="0"/>
                <w:sz w:val="18"/>
                <w:szCs w:val="18"/>
              </w:rPr>
            </w:pPr>
            <w:r>
              <w:rPr>
                <w:rFonts w:ascii="宋体" w:hAnsi="宋体" w:eastAsia="宋体" w:cs="宋体"/>
                <w:kern w:val="0"/>
                <w:sz w:val="18"/>
                <w:szCs w:val="18"/>
              </w:rPr>
              <w:t>0.69</w:t>
            </w:r>
          </w:p>
        </w:tc>
        <w:tc>
          <w:tcPr>
            <w:tcW w:w="838" w:type="dxa"/>
            <w:tcBorders>
              <w:top w:val="nil"/>
              <w:left w:val="single" w:color="auto" w:sz="4" w:space="0"/>
              <w:bottom w:val="single" w:color="auto" w:sz="4" w:space="0"/>
              <w:right w:val="single" w:color="auto" w:sz="4" w:space="0"/>
            </w:tcBorders>
            <w:vAlign w:val="center"/>
          </w:tcPr>
          <w:p w14:paraId="4F62AF4F">
            <w:pPr>
              <w:widowControl/>
              <w:jc w:val="center"/>
              <w:rPr>
                <w:rFonts w:ascii="宋体" w:hAnsi="宋体" w:eastAsia="宋体" w:cs="宋体"/>
                <w:kern w:val="0"/>
                <w:sz w:val="18"/>
                <w:szCs w:val="18"/>
              </w:rPr>
            </w:pPr>
          </w:p>
        </w:tc>
        <w:tc>
          <w:tcPr>
            <w:tcW w:w="797" w:type="dxa"/>
            <w:tcBorders>
              <w:top w:val="nil"/>
              <w:left w:val="single" w:color="auto" w:sz="4" w:space="0"/>
              <w:bottom w:val="single" w:color="auto" w:sz="4" w:space="0"/>
              <w:right w:val="nil"/>
            </w:tcBorders>
            <w:vAlign w:val="center"/>
          </w:tcPr>
          <w:p w14:paraId="4750A256">
            <w:pPr>
              <w:widowControl/>
              <w:jc w:val="center"/>
              <w:rPr>
                <w:rFonts w:ascii="宋体" w:hAnsi="宋体" w:eastAsia="宋体" w:cs="宋体"/>
                <w:kern w:val="0"/>
                <w:sz w:val="18"/>
                <w:szCs w:val="18"/>
              </w:rPr>
            </w:pPr>
            <w:r>
              <w:rPr>
                <w:rFonts w:hint="eastAsia" w:ascii="宋体" w:hAnsi="宋体" w:eastAsia="宋体" w:cs="宋体"/>
                <w:kern w:val="0"/>
                <w:sz w:val="18"/>
                <w:szCs w:val="18"/>
              </w:rPr>
              <w:t>0.04</w:t>
            </w:r>
          </w:p>
        </w:tc>
        <w:tc>
          <w:tcPr>
            <w:tcW w:w="926" w:type="dxa"/>
            <w:tcBorders>
              <w:top w:val="nil"/>
              <w:left w:val="single" w:color="auto" w:sz="4" w:space="0"/>
              <w:bottom w:val="single" w:color="auto" w:sz="4" w:space="0"/>
              <w:right w:val="single" w:color="auto" w:sz="4" w:space="0"/>
            </w:tcBorders>
            <w:noWrap/>
            <w:vAlign w:val="center"/>
          </w:tcPr>
          <w:p w14:paraId="1CB665BD">
            <w:pPr>
              <w:widowControl/>
              <w:jc w:val="center"/>
              <w:rPr>
                <w:rFonts w:ascii="宋体" w:hAnsi="宋体" w:eastAsia="宋体" w:cs="宋体"/>
                <w:kern w:val="0"/>
                <w:sz w:val="18"/>
                <w:szCs w:val="18"/>
              </w:rPr>
            </w:pPr>
            <w:r>
              <w:rPr>
                <w:rFonts w:ascii="宋体" w:hAnsi="宋体" w:eastAsia="宋体" w:cs="宋体"/>
                <w:kern w:val="0"/>
                <w:sz w:val="18"/>
                <w:szCs w:val="18"/>
              </w:rPr>
              <w:t>0.03</w:t>
            </w:r>
          </w:p>
        </w:tc>
      </w:tr>
      <w:tr w14:paraId="7BA26377">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53B4D770">
            <w:pPr>
              <w:widowControl/>
              <w:jc w:val="center"/>
              <w:rPr>
                <w:rFonts w:ascii="宋体" w:hAnsi="宋体" w:eastAsia="宋体" w:cs="宋体"/>
                <w:kern w:val="0"/>
                <w:sz w:val="18"/>
                <w:szCs w:val="18"/>
              </w:rPr>
            </w:pPr>
            <w:r>
              <w:rPr>
                <w:rFonts w:hint="eastAsia" w:ascii="宋体" w:hAnsi="宋体" w:eastAsia="宋体" w:cs="宋体"/>
                <w:kern w:val="0"/>
                <w:sz w:val="18"/>
                <w:szCs w:val="18"/>
              </w:rPr>
              <w:t>12</w:t>
            </w:r>
          </w:p>
        </w:tc>
        <w:tc>
          <w:tcPr>
            <w:tcW w:w="1296" w:type="dxa"/>
            <w:tcBorders>
              <w:top w:val="nil"/>
              <w:left w:val="single" w:color="auto" w:sz="4" w:space="0"/>
              <w:bottom w:val="single" w:color="auto" w:sz="4" w:space="0"/>
              <w:right w:val="single" w:color="auto" w:sz="4" w:space="0"/>
            </w:tcBorders>
            <w:noWrap/>
            <w:vAlign w:val="center"/>
          </w:tcPr>
          <w:p w14:paraId="1A667233">
            <w:pPr>
              <w:widowControl/>
              <w:jc w:val="center"/>
              <w:rPr>
                <w:rFonts w:ascii="宋体" w:hAnsi="宋体" w:eastAsia="宋体" w:cs="宋体"/>
                <w:kern w:val="0"/>
                <w:sz w:val="18"/>
                <w:szCs w:val="18"/>
              </w:rPr>
            </w:pPr>
            <w:r>
              <w:rPr>
                <w:rFonts w:hint="eastAsia" w:ascii="宋体" w:hAnsi="宋体" w:eastAsia="宋体" w:cs="宋体"/>
                <w:kern w:val="0"/>
                <w:sz w:val="18"/>
                <w:szCs w:val="18"/>
              </w:rPr>
              <w:t>巴什兰干乡</w:t>
            </w:r>
          </w:p>
        </w:tc>
        <w:tc>
          <w:tcPr>
            <w:tcW w:w="835" w:type="dxa"/>
            <w:tcBorders>
              <w:top w:val="nil"/>
              <w:left w:val="single" w:color="auto" w:sz="4" w:space="0"/>
              <w:bottom w:val="single" w:color="auto" w:sz="4" w:space="0"/>
              <w:right w:val="single" w:color="auto" w:sz="4" w:space="0"/>
            </w:tcBorders>
            <w:noWrap/>
            <w:vAlign w:val="center"/>
          </w:tcPr>
          <w:p w14:paraId="37C3DB01">
            <w:pPr>
              <w:widowControl/>
              <w:jc w:val="center"/>
              <w:rPr>
                <w:rFonts w:ascii="宋体" w:hAnsi="宋体" w:eastAsia="宋体" w:cs="宋体"/>
                <w:kern w:val="0"/>
                <w:sz w:val="18"/>
                <w:szCs w:val="18"/>
              </w:rPr>
            </w:pPr>
            <w:r>
              <w:rPr>
                <w:rFonts w:hint="eastAsia" w:ascii="宋体" w:hAnsi="宋体" w:eastAsia="宋体" w:cs="宋体"/>
                <w:kern w:val="0"/>
                <w:sz w:val="18"/>
                <w:szCs w:val="18"/>
              </w:rPr>
              <w:t>1.86</w:t>
            </w:r>
          </w:p>
        </w:tc>
        <w:tc>
          <w:tcPr>
            <w:tcW w:w="904" w:type="dxa"/>
            <w:tcBorders>
              <w:top w:val="nil"/>
              <w:left w:val="single" w:color="auto" w:sz="4" w:space="0"/>
              <w:bottom w:val="single" w:color="auto" w:sz="4" w:space="0"/>
              <w:right w:val="single" w:color="auto" w:sz="4" w:space="0"/>
            </w:tcBorders>
            <w:shd w:val="clear" w:color="000000" w:fill="FFFFFF"/>
            <w:noWrap/>
            <w:vAlign w:val="center"/>
          </w:tcPr>
          <w:p w14:paraId="7CCE036F">
            <w:pPr>
              <w:widowControl/>
              <w:jc w:val="center"/>
              <w:rPr>
                <w:rFonts w:ascii="宋体" w:hAnsi="宋体" w:eastAsia="宋体" w:cs="宋体"/>
                <w:kern w:val="0"/>
                <w:sz w:val="18"/>
                <w:szCs w:val="18"/>
              </w:rPr>
            </w:pPr>
            <w:r>
              <w:rPr>
                <w:rFonts w:ascii="宋体" w:hAnsi="宋体" w:eastAsia="宋体" w:cs="宋体"/>
                <w:kern w:val="0"/>
                <w:sz w:val="18"/>
                <w:szCs w:val="18"/>
              </w:rPr>
              <w:t>0.36</w:t>
            </w:r>
          </w:p>
        </w:tc>
        <w:tc>
          <w:tcPr>
            <w:tcW w:w="776" w:type="dxa"/>
            <w:tcBorders>
              <w:top w:val="nil"/>
              <w:left w:val="single" w:color="auto" w:sz="4" w:space="0"/>
              <w:bottom w:val="single" w:color="auto" w:sz="4" w:space="0"/>
              <w:right w:val="single" w:color="auto" w:sz="4" w:space="0"/>
            </w:tcBorders>
            <w:noWrap/>
            <w:vAlign w:val="center"/>
          </w:tcPr>
          <w:p w14:paraId="5597B8A5">
            <w:pPr>
              <w:widowControl/>
              <w:jc w:val="center"/>
              <w:rPr>
                <w:rFonts w:ascii="宋体" w:hAnsi="宋体" w:eastAsia="宋体" w:cs="宋体"/>
                <w:kern w:val="0"/>
                <w:sz w:val="18"/>
                <w:szCs w:val="18"/>
              </w:rPr>
            </w:pPr>
            <w:r>
              <w:rPr>
                <w:rFonts w:ascii="宋体" w:hAnsi="宋体" w:eastAsia="宋体" w:cs="宋体"/>
                <w:kern w:val="0"/>
                <w:sz w:val="18"/>
                <w:szCs w:val="18"/>
              </w:rPr>
              <w:t>　</w:t>
            </w:r>
          </w:p>
        </w:tc>
        <w:tc>
          <w:tcPr>
            <w:tcW w:w="979" w:type="dxa"/>
            <w:tcBorders>
              <w:top w:val="nil"/>
              <w:left w:val="single" w:color="auto" w:sz="4" w:space="0"/>
              <w:bottom w:val="single" w:color="auto" w:sz="4" w:space="0"/>
              <w:right w:val="single" w:color="auto" w:sz="4" w:space="0"/>
            </w:tcBorders>
            <w:noWrap/>
            <w:vAlign w:val="center"/>
          </w:tcPr>
          <w:p w14:paraId="062F3874">
            <w:pPr>
              <w:widowControl/>
              <w:jc w:val="center"/>
              <w:rPr>
                <w:rFonts w:ascii="宋体" w:hAnsi="宋体" w:eastAsia="宋体" w:cs="宋体"/>
                <w:kern w:val="0"/>
                <w:sz w:val="18"/>
                <w:szCs w:val="18"/>
              </w:rPr>
            </w:pPr>
            <w:r>
              <w:rPr>
                <w:rFonts w:ascii="宋体" w:hAnsi="宋体" w:eastAsia="宋体" w:cs="宋体"/>
                <w:kern w:val="0"/>
                <w:sz w:val="18"/>
                <w:szCs w:val="18"/>
              </w:rPr>
              <w:t>1.15</w:t>
            </w:r>
          </w:p>
        </w:tc>
        <w:tc>
          <w:tcPr>
            <w:tcW w:w="838" w:type="dxa"/>
            <w:tcBorders>
              <w:top w:val="nil"/>
              <w:left w:val="single" w:color="auto" w:sz="4" w:space="0"/>
              <w:bottom w:val="single" w:color="auto" w:sz="4" w:space="0"/>
              <w:right w:val="single" w:color="auto" w:sz="4" w:space="0"/>
            </w:tcBorders>
            <w:vAlign w:val="center"/>
          </w:tcPr>
          <w:p w14:paraId="080F928D">
            <w:pPr>
              <w:widowControl/>
              <w:jc w:val="center"/>
              <w:rPr>
                <w:rFonts w:ascii="宋体" w:hAnsi="宋体" w:eastAsia="宋体" w:cs="宋体"/>
                <w:kern w:val="0"/>
                <w:sz w:val="18"/>
                <w:szCs w:val="18"/>
              </w:rPr>
            </w:pPr>
          </w:p>
        </w:tc>
        <w:tc>
          <w:tcPr>
            <w:tcW w:w="797" w:type="dxa"/>
            <w:tcBorders>
              <w:top w:val="nil"/>
              <w:left w:val="single" w:color="auto" w:sz="4" w:space="0"/>
              <w:bottom w:val="single" w:color="auto" w:sz="4" w:space="0"/>
              <w:right w:val="nil"/>
            </w:tcBorders>
            <w:vAlign w:val="center"/>
          </w:tcPr>
          <w:p w14:paraId="6370813C">
            <w:pPr>
              <w:widowControl/>
              <w:jc w:val="center"/>
              <w:rPr>
                <w:rFonts w:ascii="宋体" w:hAnsi="宋体" w:eastAsia="宋体" w:cs="宋体"/>
                <w:kern w:val="0"/>
                <w:sz w:val="18"/>
                <w:szCs w:val="18"/>
              </w:rPr>
            </w:pPr>
            <w:r>
              <w:rPr>
                <w:rFonts w:hint="eastAsia" w:ascii="宋体" w:hAnsi="宋体" w:eastAsia="宋体" w:cs="宋体"/>
                <w:kern w:val="0"/>
                <w:sz w:val="18"/>
                <w:szCs w:val="18"/>
              </w:rPr>
              <w:t>0.35</w:t>
            </w:r>
          </w:p>
        </w:tc>
        <w:tc>
          <w:tcPr>
            <w:tcW w:w="926" w:type="dxa"/>
            <w:tcBorders>
              <w:top w:val="nil"/>
              <w:left w:val="single" w:color="auto" w:sz="4" w:space="0"/>
              <w:bottom w:val="single" w:color="auto" w:sz="4" w:space="0"/>
              <w:right w:val="single" w:color="auto" w:sz="4" w:space="0"/>
            </w:tcBorders>
            <w:noWrap/>
            <w:vAlign w:val="center"/>
          </w:tcPr>
          <w:p w14:paraId="64EB47C5">
            <w:pPr>
              <w:widowControl/>
              <w:jc w:val="center"/>
              <w:rPr>
                <w:rFonts w:ascii="宋体" w:hAnsi="宋体" w:eastAsia="宋体" w:cs="宋体"/>
                <w:kern w:val="0"/>
                <w:sz w:val="18"/>
                <w:szCs w:val="18"/>
              </w:rPr>
            </w:pPr>
            <w:r>
              <w:rPr>
                <w:rFonts w:ascii="宋体" w:hAnsi="宋体" w:eastAsia="宋体" w:cs="宋体"/>
                <w:kern w:val="0"/>
                <w:sz w:val="18"/>
                <w:szCs w:val="18"/>
              </w:rPr>
              <w:t>0.00</w:t>
            </w:r>
          </w:p>
        </w:tc>
      </w:tr>
      <w:tr w14:paraId="397BF6D9">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1B21C0D5">
            <w:pPr>
              <w:widowControl/>
              <w:jc w:val="center"/>
              <w:rPr>
                <w:rFonts w:ascii="宋体" w:hAnsi="宋体" w:eastAsia="宋体" w:cs="宋体"/>
                <w:kern w:val="0"/>
                <w:sz w:val="18"/>
                <w:szCs w:val="18"/>
              </w:rPr>
            </w:pPr>
            <w:r>
              <w:rPr>
                <w:rFonts w:hint="eastAsia" w:ascii="宋体" w:hAnsi="宋体" w:eastAsia="宋体" w:cs="宋体"/>
                <w:kern w:val="0"/>
                <w:sz w:val="18"/>
                <w:szCs w:val="18"/>
              </w:rPr>
              <w:t>13</w:t>
            </w:r>
          </w:p>
        </w:tc>
        <w:tc>
          <w:tcPr>
            <w:tcW w:w="1296" w:type="dxa"/>
            <w:tcBorders>
              <w:top w:val="nil"/>
              <w:left w:val="single" w:color="auto" w:sz="4" w:space="0"/>
              <w:bottom w:val="single" w:color="auto" w:sz="4" w:space="0"/>
              <w:right w:val="single" w:color="auto" w:sz="4" w:space="0"/>
            </w:tcBorders>
            <w:shd w:val="clear" w:color="000000" w:fill="FFFFFF"/>
            <w:noWrap/>
            <w:vAlign w:val="center"/>
          </w:tcPr>
          <w:p w14:paraId="5140545F">
            <w:pPr>
              <w:widowControl/>
              <w:jc w:val="center"/>
              <w:rPr>
                <w:rFonts w:ascii="宋体" w:hAnsi="宋体" w:eastAsia="宋体" w:cs="宋体"/>
                <w:kern w:val="0"/>
                <w:sz w:val="18"/>
                <w:szCs w:val="18"/>
              </w:rPr>
            </w:pPr>
            <w:r>
              <w:rPr>
                <w:rFonts w:hint="eastAsia" w:ascii="宋体" w:hAnsi="宋体" w:eastAsia="宋体" w:cs="宋体"/>
                <w:kern w:val="0"/>
                <w:sz w:val="18"/>
                <w:szCs w:val="18"/>
              </w:rPr>
              <w:t>克里阳乡</w:t>
            </w:r>
          </w:p>
        </w:tc>
        <w:tc>
          <w:tcPr>
            <w:tcW w:w="835" w:type="dxa"/>
            <w:tcBorders>
              <w:top w:val="nil"/>
              <w:left w:val="single" w:color="auto" w:sz="4" w:space="0"/>
              <w:bottom w:val="single" w:color="auto" w:sz="4" w:space="0"/>
              <w:right w:val="single" w:color="auto" w:sz="4" w:space="0"/>
            </w:tcBorders>
            <w:noWrap/>
            <w:vAlign w:val="center"/>
          </w:tcPr>
          <w:p w14:paraId="54BE2262">
            <w:pPr>
              <w:widowControl/>
              <w:jc w:val="center"/>
              <w:rPr>
                <w:rFonts w:ascii="宋体" w:hAnsi="宋体" w:eastAsia="宋体" w:cs="宋体"/>
                <w:kern w:val="0"/>
                <w:sz w:val="18"/>
                <w:szCs w:val="18"/>
              </w:rPr>
            </w:pPr>
            <w:r>
              <w:rPr>
                <w:rFonts w:hint="eastAsia" w:ascii="宋体" w:hAnsi="宋体" w:eastAsia="宋体" w:cs="宋体"/>
                <w:kern w:val="0"/>
                <w:sz w:val="18"/>
                <w:szCs w:val="18"/>
              </w:rPr>
              <w:t>1.77</w:t>
            </w:r>
          </w:p>
        </w:tc>
        <w:tc>
          <w:tcPr>
            <w:tcW w:w="904" w:type="dxa"/>
            <w:tcBorders>
              <w:top w:val="nil"/>
              <w:left w:val="single" w:color="auto" w:sz="4" w:space="0"/>
              <w:bottom w:val="single" w:color="auto" w:sz="4" w:space="0"/>
              <w:right w:val="single" w:color="auto" w:sz="4" w:space="0"/>
            </w:tcBorders>
            <w:shd w:val="clear" w:color="000000" w:fill="FFFFFF"/>
            <w:noWrap/>
            <w:vAlign w:val="center"/>
          </w:tcPr>
          <w:p w14:paraId="0F66AC40">
            <w:pPr>
              <w:widowControl/>
              <w:jc w:val="center"/>
              <w:rPr>
                <w:rFonts w:ascii="宋体" w:hAnsi="宋体" w:eastAsia="宋体" w:cs="宋体"/>
                <w:kern w:val="0"/>
                <w:sz w:val="18"/>
                <w:szCs w:val="18"/>
              </w:rPr>
            </w:pPr>
            <w:r>
              <w:rPr>
                <w:rFonts w:ascii="宋体" w:hAnsi="宋体" w:eastAsia="宋体" w:cs="宋体"/>
                <w:kern w:val="0"/>
                <w:sz w:val="18"/>
                <w:szCs w:val="18"/>
              </w:rPr>
              <w:t>0.58</w:t>
            </w:r>
          </w:p>
        </w:tc>
        <w:tc>
          <w:tcPr>
            <w:tcW w:w="776" w:type="dxa"/>
            <w:tcBorders>
              <w:top w:val="nil"/>
              <w:left w:val="single" w:color="auto" w:sz="4" w:space="0"/>
              <w:bottom w:val="single" w:color="auto" w:sz="4" w:space="0"/>
              <w:right w:val="single" w:color="auto" w:sz="4" w:space="0"/>
            </w:tcBorders>
            <w:shd w:val="clear" w:color="000000" w:fill="FFFFFF"/>
            <w:noWrap/>
            <w:vAlign w:val="center"/>
          </w:tcPr>
          <w:p w14:paraId="575DB023">
            <w:pPr>
              <w:widowControl/>
              <w:jc w:val="center"/>
              <w:rPr>
                <w:rFonts w:ascii="宋体" w:hAnsi="宋体" w:eastAsia="宋体" w:cs="宋体"/>
                <w:kern w:val="0"/>
                <w:sz w:val="18"/>
                <w:szCs w:val="18"/>
              </w:rPr>
            </w:pPr>
            <w:r>
              <w:rPr>
                <w:rFonts w:ascii="宋体" w:hAnsi="宋体" w:eastAsia="宋体" w:cs="宋体"/>
                <w:kern w:val="0"/>
                <w:sz w:val="18"/>
                <w:szCs w:val="18"/>
              </w:rPr>
              <w:t>　</w:t>
            </w:r>
          </w:p>
        </w:tc>
        <w:tc>
          <w:tcPr>
            <w:tcW w:w="979" w:type="dxa"/>
            <w:tcBorders>
              <w:top w:val="nil"/>
              <w:left w:val="single" w:color="auto" w:sz="4" w:space="0"/>
              <w:bottom w:val="single" w:color="auto" w:sz="4" w:space="0"/>
              <w:right w:val="single" w:color="auto" w:sz="4" w:space="0"/>
            </w:tcBorders>
            <w:shd w:val="clear" w:color="000000" w:fill="FFFFFF"/>
            <w:noWrap/>
            <w:vAlign w:val="center"/>
          </w:tcPr>
          <w:p w14:paraId="677DEA82">
            <w:pPr>
              <w:widowControl/>
              <w:jc w:val="center"/>
              <w:rPr>
                <w:rFonts w:ascii="宋体" w:hAnsi="宋体" w:eastAsia="宋体" w:cs="宋体"/>
                <w:kern w:val="0"/>
                <w:sz w:val="18"/>
                <w:szCs w:val="18"/>
              </w:rPr>
            </w:pPr>
            <w:r>
              <w:rPr>
                <w:rFonts w:ascii="宋体" w:hAnsi="宋体" w:eastAsia="宋体" w:cs="宋体"/>
                <w:kern w:val="0"/>
                <w:sz w:val="18"/>
                <w:szCs w:val="18"/>
              </w:rPr>
              <w:t>0.90</w:t>
            </w:r>
          </w:p>
        </w:tc>
        <w:tc>
          <w:tcPr>
            <w:tcW w:w="838" w:type="dxa"/>
            <w:tcBorders>
              <w:top w:val="nil"/>
              <w:left w:val="single" w:color="auto" w:sz="4" w:space="0"/>
              <w:bottom w:val="single" w:color="auto" w:sz="4" w:space="0"/>
              <w:right w:val="single" w:color="auto" w:sz="4" w:space="0"/>
            </w:tcBorders>
            <w:shd w:val="clear" w:color="000000" w:fill="FFFFFF"/>
            <w:vAlign w:val="center"/>
          </w:tcPr>
          <w:p w14:paraId="05046F78">
            <w:pPr>
              <w:widowControl/>
              <w:jc w:val="center"/>
              <w:rPr>
                <w:rFonts w:ascii="宋体" w:hAnsi="宋体" w:eastAsia="宋体" w:cs="宋体"/>
                <w:kern w:val="0"/>
                <w:sz w:val="18"/>
                <w:szCs w:val="18"/>
              </w:rPr>
            </w:pPr>
            <w:r>
              <w:rPr>
                <w:rFonts w:ascii="宋体" w:hAnsi="宋体" w:eastAsia="宋体" w:cs="宋体"/>
                <w:kern w:val="0"/>
                <w:sz w:val="18"/>
                <w:szCs w:val="18"/>
              </w:rPr>
              <w:t>0.04</w:t>
            </w:r>
          </w:p>
        </w:tc>
        <w:tc>
          <w:tcPr>
            <w:tcW w:w="797" w:type="dxa"/>
            <w:tcBorders>
              <w:top w:val="nil"/>
              <w:left w:val="single" w:color="auto" w:sz="4" w:space="0"/>
              <w:bottom w:val="single" w:color="auto" w:sz="4" w:space="0"/>
              <w:right w:val="nil"/>
            </w:tcBorders>
            <w:shd w:val="clear" w:color="000000" w:fill="FFFFFF"/>
            <w:vAlign w:val="center"/>
          </w:tcPr>
          <w:p w14:paraId="161087B0">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926" w:type="dxa"/>
            <w:tcBorders>
              <w:top w:val="nil"/>
              <w:left w:val="single" w:color="auto" w:sz="4" w:space="0"/>
              <w:bottom w:val="single" w:color="auto" w:sz="4" w:space="0"/>
              <w:right w:val="single" w:color="auto" w:sz="4" w:space="0"/>
            </w:tcBorders>
            <w:shd w:val="clear" w:color="000000" w:fill="FFFFFF"/>
            <w:noWrap/>
            <w:vAlign w:val="center"/>
          </w:tcPr>
          <w:p w14:paraId="63E5AD1C">
            <w:pPr>
              <w:widowControl/>
              <w:jc w:val="center"/>
              <w:rPr>
                <w:rFonts w:ascii="宋体" w:hAnsi="宋体" w:eastAsia="宋体" w:cs="宋体"/>
                <w:kern w:val="0"/>
                <w:sz w:val="18"/>
                <w:szCs w:val="18"/>
              </w:rPr>
            </w:pPr>
            <w:r>
              <w:rPr>
                <w:rFonts w:ascii="宋体" w:hAnsi="宋体" w:eastAsia="宋体" w:cs="宋体"/>
                <w:kern w:val="0"/>
                <w:sz w:val="18"/>
                <w:szCs w:val="18"/>
              </w:rPr>
              <w:t>0.25</w:t>
            </w:r>
          </w:p>
        </w:tc>
      </w:tr>
      <w:tr w14:paraId="57B3F7A0">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0EAE5536">
            <w:pPr>
              <w:widowControl/>
              <w:jc w:val="center"/>
              <w:rPr>
                <w:rFonts w:ascii="宋体" w:hAnsi="宋体" w:eastAsia="宋体" w:cs="宋体"/>
                <w:kern w:val="0"/>
                <w:sz w:val="18"/>
                <w:szCs w:val="18"/>
              </w:rPr>
            </w:pPr>
            <w:r>
              <w:rPr>
                <w:rFonts w:hint="eastAsia" w:ascii="宋体" w:hAnsi="宋体" w:eastAsia="宋体" w:cs="宋体"/>
                <w:kern w:val="0"/>
                <w:sz w:val="18"/>
                <w:szCs w:val="18"/>
              </w:rPr>
              <w:t>14</w:t>
            </w:r>
          </w:p>
        </w:tc>
        <w:tc>
          <w:tcPr>
            <w:tcW w:w="1296" w:type="dxa"/>
            <w:tcBorders>
              <w:top w:val="nil"/>
              <w:left w:val="single" w:color="auto" w:sz="4" w:space="0"/>
              <w:bottom w:val="single" w:color="auto" w:sz="4" w:space="0"/>
              <w:right w:val="single" w:color="auto" w:sz="4" w:space="0"/>
            </w:tcBorders>
            <w:noWrap/>
            <w:vAlign w:val="center"/>
          </w:tcPr>
          <w:p w14:paraId="4C8E8613">
            <w:pPr>
              <w:widowControl/>
              <w:jc w:val="center"/>
              <w:rPr>
                <w:rFonts w:ascii="宋体" w:hAnsi="宋体" w:eastAsia="宋体" w:cs="宋体"/>
                <w:kern w:val="0"/>
                <w:sz w:val="18"/>
                <w:szCs w:val="18"/>
              </w:rPr>
            </w:pPr>
            <w:r>
              <w:rPr>
                <w:rFonts w:hint="eastAsia" w:ascii="宋体" w:hAnsi="宋体" w:eastAsia="宋体" w:cs="宋体"/>
                <w:kern w:val="0"/>
                <w:sz w:val="18"/>
                <w:szCs w:val="18"/>
              </w:rPr>
              <w:t>塔吉克乡</w:t>
            </w:r>
          </w:p>
        </w:tc>
        <w:tc>
          <w:tcPr>
            <w:tcW w:w="835" w:type="dxa"/>
            <w:tcBorders>
              <w:top w:val="nil"/>
              <w:left w:val="single" w:color="auto" w:sz="4" w:space="0"/>
              <w:bottom w:val="single" w:color="auto" w:sz="4" w:space="0"/>
              <w:right w:val="single" w:color="auto" w:sz="4" w:space="0"/>
            </w:tcBorders>
            <w:noWrap/>
            <w:vAlign w:val="center"/>
          </w:tcPr>
          <w:p w14:paraId="24376ABD">
            <w:pPr>
              <w:widowControl/>
              <w:jc w:val="center"/>
              <w:rPr>
                <w:rFonts w:ascii="宋体" w:hAnsi="宋体" w:eastAsia="宋体" w:cs="宋体"/>
                <w:kern w:val="0"/>
                <w:sz w:val="18"/>
                <w:szCs w:val="18"/>
              </w:rPr>
            </w:pPr>
            <w:r>
              <w:rPr>
                <w:rFonts w:hint="eastAsia" w:ascii="宋体" w:hAnsi="宋体" w:eastAsia="宋体" w:cs="宋体"/>
                <w:kern w:val="0"/>
                <w:sz w:val="18"/>
                <w:szCs w:val="18"/>
              </w:rPr>
              <w:t>0.16</w:t>
            </w:r>
          </w:p>
        </w:tc>
        <w:tc>
          <w:tcPr>
            <w:tcW w:w="904" w:type="dxa"/>
            <w:tcBorders>
              <w:top w:val="nil"/>
              <w:left w:val="single" w:color="auto" w:sz="4" w:space="0"/>
              <w:bottom w:val="single" w:color="auto" w:sz="4" w:space="0"/>
              <w:right w:val="single" w:color="auto" w:sz="4" w:space="0"/>
            </w:tcBorders>
            <w:shd w:val="clear" w:color="000000" w:fill="FFFFFF"/>
            <w:noWrap/>
            <w:vAlign w:val="center"/>
          </w:tcPr>
          <w:p w14:paraId="155C9FBB">
            <w:pPr>
              <w:widowControl/>
              <w:jc w:val="center"/>
              <w:rPr>
                <w:rFonts w:ascii="宋体" w:hAnsi="宋体" w:eastAsia="宋体" w:cs="宋体"/>
                <w:kern w:val="0"/>
                <w:sz w:val="18"/>
                <w:szCs w:val="18"/>
              </w:rPr>
            </w:pPr>
            <w:r>
              <w:rPr>
                <w:rFonts w:ascii="宋体" w:hAnsi="宋体" w:eastAsia="宋体" w:cs="宋体"/>
                <w:kern w:val="0"/>
                <w:sz w:val="18"/>
                <w:szCs w:val="18"/>
              </w:rPr>
              <w:t>0.02</w:t>
            </w:r>
          </w:p>
        </w:tc>
        <w:tc>
          <w:tcPr>
            <w:tcW w:w="776" w:type="dxa"/>
            <w:tcBorders>
              <w:top w:val="nil"/>
              <w:left w:val="single" w:color="auto" w:sz="4" w:space="0"/>
              <w:bottom w:val="single" w:color="auto" w:sz="4" w:space="0"/>
              <w:right w:val="single" w:color="auto" w:sz="4" w:space="0"/>
            </w:tcBorders>
            <w:noWrap/>
            <w:vAlign w:val="center"/>
          </w:tcPr>
          <w:p w14:paraId="59002920">
            <w:pPr>
              <w:widowControl/>
              <w:jc w:val="center"/>
              <w:rPr>
                <w:rFonts w:ascii="宋体" w:hAnsi="宋体" w:eastAsia="宋体" w:cs="宋体"/>
                <w:kern w:val="0"/>
                <w:sz w:val="18"/>
                <w:szCs w:val="18"/>
              </w:rPr>
            </w:pPr>
          </w:p>
        </w:tc>
        <w:tc>
          <w:tcPr>
            <w:tcW w:w="979" w:type="dxa"/>
            <w:tcBorders>
              <w:top w:val="nil"/>
              <w:left w:val="single" w:color="auto" w:sz="4" w:space="0"/>
              <w:bottom w:val="single" w:color="auto" w:sz="4" w:space="0"/>
              <w:right w:val="single" w:color="auto" w:sz="4" w:space="0"/>
            </w:tcBorders>
            <w:noWrap/>
            <w:vAlign w:val="center"/>
          </w:tcPr>
          <w:p w14:paraId="01B6F7A6">
            <w:pPr>
              <w:widowControl/>
              <w:jc w:val="center"/>
              <w:rPr>
                <w:rFonts w:ascii="宋体" w:hAnsi="宋体" w:eastAsia="宋体" w:cs="宋体"/>
                <w:kern w:val="0"/>
                <w:sz w:val="18"/>
                <w:szCs w:val="18"/>
              </w:rPr>
            </w:pPr>
            <w:r>
              <w:rPr>
                <w:rFonts w:ascii="宋体" w:hAnsi="宋体" w:eastAsia="宋体" w:cs="宋体"/>
                <w:kern w:val="0"/>
                <w:sz w:val="18"/>
                <w:szCs w:val="18"/>
              </w:rPr>
              <w:t>0.04</w:t>
            </w:r>
          </w:p>
        </w:tc>
        <w:tc>
          <w:tcPr>
            <w:tcW w:w="838" w:type="dxa"/>
            <w:tcBorders>
              <w:top w:val="single" w:color="auto" w:sz="4" w:space="0"/>
              <w:left w:val="nil"/>
              <w:bottom w:val="single" w:color="auto" w:sz="4" w:space="0"/>
              <w:right w:val="single" w:color="auto" w:sz="4" w:space="0"/>
            </w:tcBorders>
            <w:vAlign w:val="center"/>
          </w:tcPr>
          <w:p w14:paraId="1AE47BB2">
            <w:pPr>
              <w:widowControl/>
              <w:jc w:val="center"/>
              <w:rPr>
                <w:rFonts w:ascii="宋体" w:hAnsi="宋体" w:eastAsia="宋体" w:cs="宋体"/>
                <w:kern w:val="0"/>
                <w:sz w:val="18"/>
                <w:szCs w:val="18"/>
              </w:rPr>
            </w:pPr>
          </w:p>
        </w:tc>
        <w:tc>
          <w:tcPr>
            <w:tcW w:w="797" w:type="dxa"/>
            <w:tcBorders>
              <w:top w:val="single" w:color="auto" w:sz="4" w:space="0"/>
              <w:left w:val="single" w:color="auto" w:sz="4" w:space="0"/>
              <w:bottom w:val="single" w:color="auto" w:sz="4" w:space="0"/>
              <w:right w:val="single" w:color="auto" w:sz="4" w:space="0"/>
            </w:tcBorders>
            <w:vAlign w:val="center"/>
          </w:tcPr>
          <w:p w14:paraId="7AA181B1">
            <w:pPr>
              <w:widowControl/>
              <w:jc w:val="center"/>
              <w:rPr>
                <w:rFonts w:ascii="宋体" w:hAnsi="宋体" w:eastAsia="宋体" w:cs="宋体"/>
                <w:kern w:val="0"/>
                <w:sz w:val="18"/>
                <w:szCs w:val="18"/>
              </w:rPr>
            </w:pPr>
          </w:p>
        </w:tc>
        <w:tc>
          <w:tcPr>
            <w:tcW w:w="926" w:type="dxa"/>
            <w:tcBorders>
              <w:top w:val="nil"/>
              <w:left w:val="single" w:color="auto" w:sz="4" w:space="0"/>
              <w:bottom w:val="single" w:color="auto" w:sz="4" w:space="0"/>
              <w:right w:val="single" w:color="auto" w:sz="4" w:space="0"/>
            </w:tcBorders>
            <w:noWrap/>
            <w:vAlign w:val="center"/>
          </w:tcPr>
          <w:p w14:paraId="7AD3A489">
            <w:pPr>
              <w:widowControl/>
              <w:jc w:val="center"/>
              <w:rPr>
                <w:rFonts w:ascii="宋体" w:hAnsi="宋体" w:eastAsia="宋体" w:cs="宋体"/>
                <w:kern w:val="0"/>
                <w:sz w:val="18"/>
                <w:szCs w:val="18"/>
              </w:rPr>
            </w:pPr>
            <w:r>
              <w:rPr>
                <w:rFonts w:ascii="宋体" w:hAnsi="宋体" w:eastAsia="宋体" w:cs="宋体"/>
                <w:kern w:val="0"/>
                <w:sz w:val="18"/>
                <w:szCs w:val="18"/>
              </w:rPr>
              <w:t>0.09</w:t>
            </w:r>
          </w:p>
        </w:tc>
      </w:tr>
      <w:tr w14:paraId="52FB1DD0">
        <w:tblPrEx>
          <w:tblCellMar>
            <w:top w:w="0" w:type="dxa"/>
            <w:left w:w="108" w:type="dxa"/>
            <w:bottom w:w="0" w:type="dxa"/>
            <w:right w:w="108" w:type="dxa"/>
          </w:tblCellMar>
        </w:tblPrEx>
        <w:trPr>
          <w:trHeight w:val="480" w:hRule="atLeast"/>
          <w:jc w:val="center"/>
        </w:trPr>
        <w:tc>
          <w:tcPr>
            <w:tcW w:w="669" w:type="dxa"/>
            <w:tcBorders>
              <w:top w:val="nil"/>
              <w:left w:val="single" w:color="auto" w:sz="4" w:space="0"/>
              <w:bottom w:val="single" w:color="auto" w:sz="4" w:space="0"/>
              <w:right w:val="single" w:color="auto" w:sz="4" w:space="0"/>
            </w:tcBorders>
            <w:shd w:val="clear" w:color="000000" w:fill="FFFFFF"/>
            <w:noWrap/>
            <w:vAlign w:val="center"/>
          </w:tcPr>
          <w:p w14:paraId="1366ABE1">
            <w:pPr>
              <w:widowControl/>
              <w:jc w:val="center"/>
              <w:rPr>
                <w:rFonts w:ascii="宋体" w:hAnsi="宋体" w:eastAsia="宋体" w:cs="宋体"/>
                <w:kern w:val="0"/>
                <w:sz w:val="18"/>
                <w:szCs w:val="18"/>
              </w:rPr>
            </w:pPr>
            <w:r>
              <w:rPr>
                <w:rFonts w:hint="eastAsia" w:ascii="宋体" w:hAnsi="宋体" w:eastAsia="宋体" w:cs="宋体"/>
                <w:kern w:val="0"/>
                <w:sz w:val="18"/>
                <w:szCs w:val="18"/>
              </w:rPr>
              <w:t>15</w:t>
            </w:r>
          </w:p>
        </w:tc>
        <w:tc>
          <w:tcPr>
            <w:tcW w:w="1296" w:type="dxa"/>
            <w:tcBorders>
              <w:top w:val="nil"/>
              <w:left w:val="single" w:color="auto" w:sz="4" w:space="0"/>
              <w:bottom w:val="single" w:color="auto" w:sz="4" w:space="0"/>
              <w:right w:val="single" w:color="auto" w:sz="4" w:space="0"/>
            </w:tcBorders>
            <w:shd w:val="clear" w:color="000000" w:fill="FFFFFF"/>
            <w:noWrap/>
            <w:vAlign w:val="center"/>
          </w:tcPr>
          <w:p w14:paraId="68364B66">
            <w:pPr>
              <w:widowControl/>
              <w:jc w:val="center"/>
              <w:rPr>
                <w:rFonts w:ascii="宋体" w:hAnsi="宋体" w:eastAsia="宋体" w:cs="宋体"/>
                <w:kern w:val="0"/>
                <w:sz w:val="18"/>
                <w:szCs w:val="18"/>
              </w:rPr>
            </w:pPr>
            <w:r>
              <w:rPr>
                <w:rFonts w:hint="eastAsia" w:ascii="宋体" w:hAnsi="宋体" w:eastAsia="宋体" w:cs="宋体"/>
                <w:kern w:val="0"/>
                <w:sz w:val="18"/>
                <w:szCs w:val="18"/>
              </w:rPr>
              <w:t>康克尔乡</w:t>
            </w:r>
          </w:p>
        </w:tc>
        <w:tc>
          <w:tcPr>
            <w:tcW w:w="835" w:type="dxa"/>
            <w:tcBorders>
              <w:top w:val="nil"/>
              <w:left w:val="single" w:color="auto" w:sz="4" w:space="0"/>
              <w:bottom w:val="single" w:color="auto" w:sz="4" w:space="0"/>
              <w:right w:val="single" w:color="auto" w:sz="4" w:space="0"/>
            </w:tcBorders>
            <w:noWrap/>
            <w:vAlign w:val="center"/>
          </w:tcPr>
          <w:p w14:paraId="502F9342">
            <w:pPr>
              <w:widowControl/>
              <w:jc w:val="center"/>
              <w:rPr>
                <w:rFonts w:ascii="宋体" w:hAnsi="宋体" w:eastAsia="宋体" w:cs="宋体"/>
                <w:kern w:val="0"/>
                <w:sz w:val="18"/>
                <w:szCs w:val="18"/>
              </w:rPr>
            </w:pPr>
            <w:r>
              <w:rPr>
                <w:rFonts w:hint="eastAsia" w:ascii="宋体" w:hAnsi="宋体" w:eastAsia="宋体" w:cs="宋体"/>
                <w:kern w:val="0"/>
                <w:sz w:val="18"/>
                <w:szCs w:val="18"/>
              </w:rPr>
              <w:t>0.19</w:t>
            </w:r>
          </w:p>
        </w:tc>
        <w:tc>
          <w:tcPr>
            <w:tcW w:w="904" w:type="dxa"/>
            <w:tcBorders>
              <w:top w:val="nil"/>
              <w:left w:val="single" w:color="auto" w:sz="4" w:space="0"/>
              <w:bottom w:val="single" w:color="auto" w:sz="4" w:space="0"/>
              <w:right w:val="single" w:color="auto" w:sz="4" w:space="0"/>
            </w:tcBorders>
            <w:shd w:val="clear" w:color="000000" w:fill="FFFFFF"/>
            <w:noWrap/>
            <w:vAlign w:val="center"/>
          </w:tcPr>
          <w:p w14:paraId="54B56332">
            <w:pPr>
              <w:widowControl/>
              <w:jc w:val="center"/>
              <w:rPr>
                <w:rFonts w:ascii="宋体" w:hAnsi="宋体" w:eastAsia="宋体" w:cs="宋体"/>
                <w:kern w:val="0"/>
                <w:sz w:val="18"/>
                <w:szCs w:val="18"/>
              </w:rPr>
            </w:pPr>
            <w:r>
              <w:rPr>
                <w:rFonts w:ascii="宋体" w:hAnsi="宋体" w:eastAsia="宋体" w:cs="宋体"/>
                <w:kern w:val="0"/>
                <w:sz w:val="18"/>
                <w:szCs w:val="18"/>
              </w:rPr>
              <w:t>0.03</w:t>
            </w:r>
          </w:p>
        </w:tc>
        <w:tc>
          <w:tcPr>
            <w:tcW w:w="776" w:type="dxa"/>
            <w:tcBorders>
              <w:top w:val="nil"/>
              <w:left w:val="single" w:color="auto" w:sz="4" w:space="0"/>
              <w:bottom w:val="single" w:color="auto" w:sz="4" w:space="0"/>
              <w:right w:val="single" w:color="auto" w:sz="4" w:space="0"/>
            </w:tcBorders>
            <w:shd w:val="clear" w:color="000000" w:fill="FFFFFF"/>
            <w:noWrap/>
            <w:vAlign w:val="center"/>
          </w:tcPr>
          <w:p w14:paraId="7FD4CCEF">
            <w:pPr>
              <w:widowControl/>
              <w:jc w:val="center"/>
              <w:rPr>
                <w:rFonts w:ascii="宋体" w:hAnsi="宋体" w:eastAsia="宋体" w:cs="宋体"/>
                <w:kern w:val="0"/>
                <w:sz w:val="18"/>
                <w:szCs w:val="18"/>
              </w:rPr>
            </w:pPr>
            <w:r>
              <w:rPr>
                <w:rFonts w:ascii="宋体" w:hAnsi="宋体" w:eastAsia="宋体" w:cs="宋体"/>
                <w:kern w:val="0"/>
                <w:sz w:val="18"/>
                <w:szCs w:val="18"/>
              </w:rPr>
              <w:t>0.01</w:t>
            </w:r>
          </w:p>
        </w:tc>
        <w:tc>
          <w:tcPr>
            <w:tcW w:w="979" w:type="dxa"/>
            <w:tcBorders>
              <w:top w:val="nil"/>
              <w:left w:val="single" w:color="auto" w:sz="4" w:space="0"/>
              <w:bottom w:val="single" w:color="auto" w:sz="4" w:space="0"/>
              <w:right w:val="single" w:color="auto" w:sz="4" w:space="0"/>
            </w:tcBorders>
            <w:shd w:val="clear" w:color="000000" w:fill="FFFFFF"/>
            <w:noWrap/>
            <w:vAlign w:val="center"/>
          </w:tcPr>
          <w:p w14:paraId="14073744">
            <w:pPr>
              <w:widowControl/>
              <w:jc w:val="center"/>
              <w:rPr>
                <w:rFonts w:ascii="宋体" w:hAnsi="宋体" w:eastAsia="宋体" w:cs="宋体"/>
                <w:kern w:val="0"/>
                <w:sz w:val="18"/>
                <w:szCs w:val="18"/>
              </w:rPr>
            </w:pPr>
            <w:r>
              <w:rPr>
                <w:rFonts w:ascii="宋体" w:hAnsi="宋体" w:eastAsia="宋体" w:cs="宋体"/>
                <w:kern w:val="0"/>
                <w:sz w:val="18"/>
                <w:szCs w:val="18"/>
              </w:rPr>
              <w:t>0.14</w:t>
            </w:r>
          </w:p>
        </w:tc>
        <w:tc>
          <w:tcPr>
            <w:tcW w:w="838" w:type="dxa"/>
            <w:tcBorders>
              <w:top w:val="single" w:color="auto" w:sz="4" w:space="0"/>
              <w:left w:val="nil"/>
              <w:bottom w:val="single" w:color="auto" w:sz="4" w:space="0"/>
              <w:right w:val="single" w:color="auto" w:sz="4" w:space="0"/>
            </w:tcBorders>
            <w:shd w:val="clear" w:color="000000" w:fill="FFFFFF"/>
            <w:vAlign w:val="center"/>
          </w:tcPr>
          <w:p w14:paraId="64FD8E9B">
            <w:pPr>
              <w:widowControl/>
              <w:jc w:val="center"/>
              <w:rPr>
                <w:rFonts w:ascii="宋体" w:hAnsi="宋体" w:eastAsia="宋体" w:cs="宋体"/>
                <w:kern w:val="0"/>
                <w:sz w:val="18"/>
                <w:szCs w:val="18"/>
              </w:rPr>
            </w:pPr>
          </w:p>
        </w:tc>
        <w:tc>
          <w:tcPr>
            <w:tcW w:w="797" w:type="dxa"/>
            <w:tcBorders>
              <w:top w:val="single" w:color="auto" w:sz="4" w:space="0"/>
              <w:left w:val="single" w:color="auto" w:sz="4" w:space="0"/>
              <w:bottom w:val="single" w:color="auto" w:sz="4" w:space="0"/>
              <w:right w:val="single" w:color="auto" w:sz="4" w:space="0"/>
            </w:tcBorders>
            <w:shd w:val="clear" w:color="000000" w:fill="FFFFFF"/>
            <w:vAlign w:val="center"/>
          </w:tcPr>
          <w:p w14:paraId="667BDA73">
            <w:pPr>
              <w:widowControl/>
              <w:jc w:val="center"/>
              <w:rPr>
                <w:rFonts w:ascii="宋体" w:hAnsi="宋体" w:eastAsia="宋体" w:cs="宋体"/>
                <w:kern w:val="0"/>
                <w:sz w:val="18"/>
                <w:szCs w:val="18"/>
              </w:rPr>
            </w:pPr>
          </w:p>
        </w:tc>
        <w:tc>
          <w:tcPr>
            <w:tcW w:w="926" w:type="dxa"/>
            <w:tcBorders>
              <w:top w:val="nil"/>
              <w:left w:val="single" w:color="auto" w:sz="4" w:space="0"/>
              <w:bottom w:val="single" w:color="auto" w:sz="4" w:space="0"/>
              <w:right w:val="single" w:color="auto" w:sz="4" w:space="0"/>
            </w:tcBorders>
            <w:shd w:val="clear" w:color="000000" w:fill="FFFFFF"/>
            <w:noWrap/>
            <w:vAlign w:val="center"/>
          </w:tcPr>
          <w:p w14:paraId="2917AADD">
            <w:pPr>
              <w:widowControl/>
              <w:jc w:val="center"/>
              <w:rPr>
                <w:rFonts w:ascii="宋体" w:hAnsi="宋体" w:eastAsia="宋体" w:cs="宋体"/>
                <w:kern w:val="0"/>
                <w:sz w:val="18"/>
                <w:szCs w:val="18"/>
              </w:rPr>
            </w:pPr>
            <w:r>
              <w:rPr>
                <w:rFonts w:ascii="宋体" w:hAnsi="宋体" w:eastAsia="宋体" w:cs="宋体"/>
                <w:kern w:val="0"/>
                <w:sz w:val="18"/>
                <w:szCs w:val="18"/>
              </w:rPr>
              <w:t>0.02</w:t>
            </w:r>
          </w:p>
        </w:tc>
      </w:tr>
    </w:tbl>
    <w:p w14:paraId="71D87E7D">
      <w:pPr>
        <w:spacing w:line="580" w:lineRule="exact"/>
        <w:jc w:val="center"/>
        <w:rPr>
          <w:b/>
          <w:sz w:val="28"/>
        </w:rPr>
      </w:pPr>
    </w:p>
    <w:p w14:paraId="296B01BC">
      <w:pPr>
        <w:spacing w:line="580" w:lineRule="exact"/>
        <w:jc w:val="center"/>
        <w:rPr>
          <w:b/>
          <w:sz w:val="28"/>
        </w:rPr>
      </w:pPr>
      <w:r>
        <w:rPr>
          <w:rFonts w:hint="eastAsia"/>
          <w:b/>
          <w:sz w:val="28"/>
        </w:rPr>
        <w:t>表1-2皮山县202</w:t>
      </w:r>
      <w:r>
        <w:rPr>
          <w:b/>
          <w:sz w:val="28"/>
        </w:rPr>
        <w:t>5</w:t>
      </w:r>
      <w:r>
        <w:rPr>
          <w:rFonts w:hint="eastAsia"/>
          <w:b/>
          <w:sz w:val="28"/>
        </w:rPr>
        <w:t>年复播玉米测产情况统计表</w:t>
      </w:r>
    </w:p>
    <w:tbl>
      <w:tblPr>
        <w:tblStyle w:val="25"/>
        <w:tblW w:w="8957" w:type="dxa"/>
        <w:tblInd w:w="-5" w:type="dxa"/>
        <w:tblLayout w:type="fixed"/>
        <w:tblCellMar>
          <w:top w:w="0" w:type="dxa"/>
          <w:left w:w="108" w:type="dxa"/>
          <w:bottom w:w="0" w:type="dxa"/>
          <w:right w:w="108" w:type="dxa"/>
        </w:tblCellMar>
      </w:tblPr>
      <w:tblGrid>
        <w:gridCol w:w="448"/>
        <w:gridCol w:w="1442"/>
        <w:gridCol w:w="1053"/>
        <w:gridCol w:w="975"/>
        <w:gridCol w:w="923"/>
        <w:gridCol w:w="833"/>
        <w:gridCol w:w="953"/>
        <w:gridCol w:w="924"/>
        <w:gridCol w:w="1406"/>
      </w:tblGrid>
      <w:tr w14:paraId="4A590526">
        <w:tblPrEx>
          <w:tblCellMar>
            <w:top w:w="0" w:type="dxa"/>
            <w:left w:w="108" w:type="dxa"/>
            <w:bottom w:w="0" w:type="dxa"/>
            <w:right w:w="108" w:type="dxa"/>
          </w:tblCellMar>
        </w:tblPrEx>
        <w:trPr>
          <w:trHeight w:val="285" w:hRule="atLeast"/>
        </w:trPr>
        <w:tc>
          <w:tcPr>
            <w:tcW w:w="448" w:type="dxa"/>
            <w:vMerge w:val="restart"/>
            <w:tcBorders>
              <w:top w:val="single" w:color="000000" w:sz="4" w:space="0"/>
              <w:left w:val="single" w:color="000000" w:sz="4" w:space="0"/>
              <w:bottom w:val="single" w:color="000000" w:sz="4" w:space="0"/>
              <w:right w:val="single" w:color="000000" w:sz="4" w:space="0"/>
            </w:tcBorders>
            <w:vAlign w:val="center"/>
          </w:tcPr>
          <w:p w14:paraId="74C806B4">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1442" w:type="dxa"/>
            <w:vMerge w:val="restart"/>
            <w:tcBorders>
              <w:top w:val="single" w:color="000000" w:sz="4" w:space="0"/>
              <w:left w:val="single" w:color="000000" w:sz="4" w:space="0"/>
              <w:bottom w:val="single" w:color="000000" w:sz="4" w:space="0"/>
              <w:right w:val="single" w:color="000000" w:sz="4" w:space="0"/>
            </w:tcBorders>
            <w:noWrap/>
            <w:vAlign w:val="center"/>
          </w:tcPr>
          <w:p w14:paraId="79570A91">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村名称</w:t>
            </w:r>
          </w:p>
        </w:tc>
        <w:tc>
          <w:tcPr>
            <w:tcW w:w="1053" w:type="dxa"/>
            <w:vMerge w:val="restart"/>
            <w:tcBorders>
              <w:top w:val="single" w:color="000000" w:sz="4" w:space="0"/>
              <w:left w:val="single" w:color="000000" w:sz="4" w:space="0"/>
              <w:bottom w:val="single" w:color="000000" w:sz="4" w:space="0"/>
              <w:right w:val="single" w:color="000000" w:sz="4" w:space="0"/>
            </w:tcBorders>
            <w:vAlign w:val="center"/>
          </w:tcPr>
          <w:p w14:paraId="636313E6">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面积(亩)</w:t>
            </w:r>
          </w:p>
        </w:tc>
        <w:tc>
          <w:tcPr>
            <w:tcW w:w="3684" w:type="dxa"/>
            <w:gridSpan w:val="4"/>
            <w:tcBorders>
              <w:top w:val="single" w:color="000000" w:sz="4" w:space="0"/>
              <w:left w:val="single" w:color="000000" w:sz="4" w:space="0"/>
              <w:bottom w:val="single" w:color="000000" w:sz="4" w:space="0"/>
              <w:right w:val="single" w:color="000000" w:sz="4" w:space="0"/>
            </w:tcBorders>
            <w:noWrap/>
            <w:vAlign w:val="center"/>
          </w:tcPr>
          <w:p w14:paraId="240C8887">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产量结构</w:t>
            </w:r>
          </w:p>
        </w:tc>
        <w:tc>
          <w:tcPr>
            <w:tcW w:w="924" w:type="dxa"/>
            <w:vMerge w:val="restart"/>
            <w:tcBorders>
              <w:top w:val="single" w:color="000000" w:sz="4" w:space="0"/>
              <w:left w:val="single" w:color="000000" w:sz="4" w:space="0"/>
              <w:bottom w:val="single" w:color="000000" w:sz="4" w:space="0"/>
              <w:right w:val="single" w:color="000000" w:sz="4" w:space="0"/>
            </w:tcBorders>
            <w:vAlign w:val="center"/>
          </w:tcPr>
          <w:p w14:paraId="353A2881">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平均亩单产</w:t>
            </w:r>
            <w:r>
              <w:rPr>
                <w:rFonts w:ascii="宋体" w:hAnsi="宋体" w:eastAsia="宋体" w:cs="宋体"/>
                <w:b/>
                <w:bCs/>
                <w:kern w:val="0"/>
                <w:sz w:val="18"/>
                <w:szCs w:val="18"/>
              </w:rPr>
              <w:br w:type="textWrapping"/>
            </w:r>
            <w:r>
              <w:rPr>
                <w:rFonts w:hint="eastAsia" w:ascii="宋体" w:hAnsi="宋体" w:eastAsia="宋体" w:cs="宋体"/>
                <w:b/>
                <w:bCs/>
                <w:kern w:val="0"/>
                <w:sz w:val="18"/>
                <w:szCs w:val="18"/>
              </w:rPr>
              <w:t>(千克)</w:t>
            </w:r>
          </w:p>
        </w:tc>
        <w:tc>
          <w:tcPr>
            <w:tcW w:w="1406" w:type="dxa"/>
            <w:vMerge w:val="restart"/>
            <w:tcBorders>
              <w:top w:val="single" w:color="000000" w:sz="4" w:space="0"/>
              <w:left w:val="single" w:color="000000" w:sz="4" w:space="0"/>
              <w:bottom w:val="single" w:color="000000" w:sz="4" w:space="0"/>
              <w:right w:val="single" w:color="000000" w:sz="4" w:space="0"/>
            </w:tcBorders>
            <w:vAlign w:val="center"/>
          </w:tcPr>
          <w:p w14:paraId="005C87D0">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总产（千克）</w:t>
            </w:r>
          </w:p>
        </w:tc>
      </w:tr>
      <w:tr w14:paraId="2511B5FB">
        <w:tblPrEx>
          <w:tblCellMar>
            <w:top w:w="0" w:type="dxa"/>
            <w:left w:w="108" w:type="dxa"/>
            <w:bottom w:w="0" w:type="dxa"/>
            <w:right w:w="108" w:type="dxa"/>
          </w:tblCellMar>
        </w:tblPrEx>
        <w:trPr>
          <w:trHeight w:val="435" w:hRule="atLeast"/>
        </w:trPr>
        <w:tc>
          <w:tcPr>
            <w:tcW w:w="448" w:type="dxa"/>
            <w:vMerge w:val="continue"/>
            <w:tcBorders>
              <w:top w:val="single" w:color="000000" w:sz="4" w:space="0"/>
              <w:left w:val="single" w:color="000000" w:sz="4" w:space="0"/>
              <w:bottom w:val="single" w:color="000000" w:sz="4" w:space="0"/>
              <w:right w:val="single" w:color="000000" w:sz="4" w:space="0"/>
            </w:tcBorders>
            <w:vAlign w:val="center"/>
          </w:tcPr>
          <w:p w14:paraId="23B8CEEA">
            <w:pPr>
              <w:jc w:val="center"/>
              <w:rPr>
                <w:rFonts w:ascii="宋体" w:hAnsi="宋体" w:eastAsia="宋体" w:cs="宋体"/>
                <w:color w:val="000000"/>
                <w:sz w:val="18"/>
                <w:szCs w:val="18"/>
              </w:rPr>
            </w:pPr>
          </w:p>
        </w:tc>
        <w:tc>
          <w:tcPr>
            <w:tcW w:w="1442" w:type="dxa"/>
            <w:vMerge w:val="continue"/>
            <w:tcBorders>
              <w:top w:val="single" w:color="000000" w:sz="4" w:space="0"/>
              <w:left w:val="single" w:color="000000" w:sz="4" w:space="0"/>
              <w:bottom w:val="single" w:color="000000" w:sz="4" w:space="0"/>
              <w:right w:val="single" w:color="000000" w:sz="4" w:space="0"/>
            </w:tcBorders>
            <w:noWrap/>
            <w:vAlign w:val="center"/>
          </w:tcPr>
          <w:p w14:paraId="29AE5DFE">
            <w:pPr>
              <w:jc w:val="center"/>
              <w:rPr>
                <w:rFonts w:ascii="宋体" w:hAnsi="宋体" w:eastAsia="宋体" w:cs="宋体"/>
                <w:color w:val="000000"/>
                <w:sz w:val="18"/>
                <w:szCs w:val="18"/>
              </w:rPr>
            </w:pPr>
          </w:p>
        </w:tc>
        <w:tc>
          <w:tcPr>
            <w:tcW w:w="1053" w:type="dxa"/>
            <w:vMerge w:val="continue"/>
            <w:tcBorders>
              <w:top w:val="single" w:color="000000" w:sz="4" w:space="0"/>
              <w:left w:val="single" w:color="000000" w:sz="4" w:space="0"/>
              <w:bottom w:val="single" w:color="000000" w:sz="4" w:space="0"/>
              <w:right w:val="single" w:color="000000" w:sz="4" w:space="0"/>
            </w:tcBorders>
            <w:vAlign w:val="center"/>
          </w:tcPr>
          <w:p w14:paraId="40A916A3">
            <w:pPr>
              <w:jc w:val="center"/>
              <w:rPr>
                <w:rFonts w:ascii="宋体" w:hAnsi="宋体" w:eastAsia="宋体" w:cs="宋体"/>
                <w:color w:val="000000"/>
                <w:sz w:val="18"/>
                <w:szCs w:val="18"/>
              </w:rPr>
            </w:pPr>
          </w:p>
        </w:tc>
        <w:tc>
          <w:tcPr>
            <w:tcW w:w="975" w:type="dxa"/>
            <w:vMerge w:val="restart"/>
            <w:tcBorders>
              <w:top w:val="single" w:color="000000" w:sz="4" w:space="0"/>
              <w:left w:val="single" w:color="000000" w:sz="4" w:space="0"/>
              <w:bottom w:val="single" w:color="000000" w:sz="4" w:space="0"/>
              <w:right w:val="single" w:color="000000" w:sz="4" w:space="0"/>
            </w:tcBorders>
            <w:vAlign w:val="center"/>
          </w:tcPr>
          <w:p w14:paraId="20840E51">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亩株数(株)</w:t>
            </w:r>
          </w:p>
        </w:tc>
        <w:tc>
          <w:tcPr>
            <w:tcW w:w="923" w:type="dxa"/>
            <w:vMerge w:val="restart"/>
            <w:tcBorders>
              <w:top w:val="single" w:color="000000" w:sz="4" w:space="0"/>
              <w:left w:val="single" w:color="000000" w:sz="4" w:space="0"/>
              <w:bottom w:val="single" w:color="000000" w:sz="4" w:space="0"/>
              <w:right w:val="single" w:color="000000" w:sz="4" w:space="0"/>
            </w:tcBorders>
            <w:vAlign w:val="center"/>
          </w:tcPr>
          <w:p w14:paraId="73A2C1C7">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穗粒数（粒）</w:t>
            </w:r>
          </w:p>
        </w:tc>
        <w:tc>
          <w:tcPr>
            <w:tcW w:w="833" w:type="dxa"/>
            <w:vMerge w:val="restart"/>
            <w:tcBorders>
              <w:top w:val="single" w:color="000000" w:sz="4" w:space="0"/>
              <w:left w:val="single" w:color="000000" w:sz="4" w:space="0"/>
              <w:bottom w:val="single" w:color="000000" w:sz="4" w:space="0"/>
              <w:right w:val="single" w:color="000000" w:sz="4" w:space="0"/>
            </w:tcBorders>
            <w:vAlign w:val="center"/>
          </w:tcPr>
          <w:p w14:paraId="30333D84">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千粒重（克）</w:t>
            </w:r>
          </w:p>
        </w:tc>
        <w:tc>
          <w:tcPr>
            <w:tcW w:w="953" w:type="dxa"/>
            <w:vMerge w:val="restart"/>
            <w:tcBorders>
              <w:top w:val="single" w:color="000000" w:sz="4" w:space="0"/>
              <w:left w:val="single" w:color="000000" w:sz="4" w:space="0"/>
              <w:bottom w:val="single" w:color="000000" w:sz="4" w:space="0"/>
              <w:right w:val="single" w:color="000000" w:sz="4" w:space="0"/>
            </w:tcBorders>
            <w:vAlign w:val="center"/>
          </w:tcPr>
          <w:p w14:paraId="18DACC98">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折合系数（%）</w:t>
            </w:r>
          </w:p>
        </w:tc>
        <w:tc>
          <w:tcPr>
            <w:tcW w:w="924" w:type="dxa"/>
            <w:vMerge w:val="continue"/>
            <w:tcBorders>
              <w:top w:val="single" w:color="000000" w:sz="4" w:space="0"/>
              <w:left w:val="single" w:color="000000" w:sz="4" w:space="0"/>
              <w:bottom w:val="single" w:color="000000" w:sz="4" w:space="0"/>
              <w:right w:val="single" w:color="000000" w:sz="4" w:space="0"/>
            </w:tcBorders>
            <w:vAlign w:val="center"/>
          </w:tcPr>
          <w:p w14:paraId="18DC1365">
            <w:pPr>
              <w:spacing w:line="0" w:lineRule="atLeast"/>
              <w:jc w:val="center"/>
              <w:rPr>
                <w:rFonts w:ascii="宋体" w:hAnsi="宋体" w:eastAsia="宋体" w:cs="宋体"/>
                <w:b/>
                <w:bCs/>
                <w:kern w:val="0"/>
                <w:sz w:val="18"/>
                <w:szCs w:val="18"/>
              </w:rPr>
            </w:pPr>
          </w:p>
        </w:tc>
        <w:tc>
          <w:tcPr>
            <w:tcW w:w="1406" w:type="dxa"/>
            <w:vMerge w:val="continue"/>
            <w:tcBorders>
              <w:top w:val="single" w:color="000000" w:sz="4" w:space="0"/>
              <w:left w:val="single" w:color="000000" w:sz="4" w:space="0"/>
              <w:bottom w:val="single" w:color="000000" w:sz="4" w:space="0"/>
              <w:right w:val="single" w:color="000000" w:sz="4" w:space="0"/>
            </w:tcBorders>
            <w:vAlign w:val="center"/>
          </w:tcPr>
          <w:p w14:paraId="56283DE4">
            <w:pPr>
              <w:jc w:val="center"/>
              <w:rPr>
                <w:rFonts w:ascii="宋体" w:hAnsi="宋体" w:eastAsia="宋体" w:cs="宋体"/>
                <w:color w:val="000000"/>
                <w:sz w:val="18"/>
                <w:szCs w:val="18"/>
              </w:rPr>
            </w:pPr>
          </w:p>
        </w:tc>
      </w:tr>
      <w:tr w14:paraId="15E6BA8D">
        <w:tblPrEx>
          <w:tblCellMar>
            <w:top w:w="0" w:type="dxa"/>
            <w:left w:w="108" w:type="dxa"/>
            <w:bottom w:w="0" w:type="dxa"/>
            <w:right w:w="108" w:type="dxa"/>
          </w:tblCellMar>
        </w:tblPrEx>
        <w:trPr>
          <w:trHeight w:val="435" w:hRule="atLeast"/>
        </w:trPr>
        <w:tc>
          <w:tcPr>
            <w:tcW w:w="448" w:type="dxa"/>
            <w:vMerge w:val="continue"/>
            <w:tcBorders>
              <w:top w:val="single" w:color="000000" w:sz="4" w:space="0"/>
              <w:left w:val="single" w:color="000000" w:sz="4" w:space="0"/>
              <w:bottom w:val="single" w:color="000000" w:sz="4" w:space="0"/>
              <w:right w:val="single" w:color="000000" w:sz="4" w:space="0"/>
            </w:tcBorders>
            <w:vAlign w:val="center"/>
          </w:tcPr>
          <w:p w14:paraId="7E57EB2A">
            <w:pPr>
              <w:jc w:val="center"/>
              <w:rPr>
                <w:rFonts w:ascii="宋体" w:hAnsi="宋体" w:eastAsia="宋体" w:cs="宋体"/>
                <w:color w:val="000000"/>
                <w:sz w:val="18"/>
                <w:szCs w:val="18"/>
              </w:rPr>
            </w:pPr>
          </w:p>
        </w:tc>
        <w:tc>
          <w:tcPr>
            <w:tcW w:w="1442" w:type="dxa"/>
            <w:vMerge w:val="continue"/>
            <w:tcBorders>
              <w:top w:val="single" w:color="000000" w:sz="4" w:space="0"/>
              <w:left w:val="single" w:color="000000" w:sz="4" w:space="0"/>
              <w:bottom w:val="single" w:color="000000" w:sz="4" w:space="0"/>
              <w:right w:val="single" w:color="000000" w:sz="4" w:space="0"/>
            </w:tcBorders>
            <w:noWrap/>
            <w:vAlign w:val="center"/>
          </w:tcPr>
          <w:p w14:paraId="237F9110">
            <w:pPr>
              <w:jc w:val="center"/>
              <w:rPr>
                <w:rFonts w:ascii="宋体" w:hAnsi="宋体" w:eastAsia="宋体" w:cs="宋体"/>
                <w:color w:val="000000"/>
                <w:sz w:val="18"/>
                <w:szCs w:val="18"/>
              </w:rPr>
            </w:pPr>
          </w:p>
        </w:tc>
        <w:tc>
          <w:tcPr>
            <w:tcW w:w="1053" w:type="dxa"/>
            <w:vMerge w:val="continue"/>
            <w:tcBorders>
              <w:top w:val="single" w:color="000000" w:sz="4" w:space="0"/>
              <w:left w:val="single" w:color="000000" w:sz="4" w:space="0"/>
              <w:bottom w:val="single" w:color="000000" w:sz="4" w:space="0"/>
              <w:right w:val="single" w:color="000000" w:sz="4" w:space="0"/>
            </w:tcBorders>
            <w:vAlign w:val="center"/>
          </w:tcPr>
          <w:p w14:paraId="30B1F593">
            <w:pPr>
              <w:jc w:val="center"/>
              <w:rPr>
                <w:rFonts w:ascii="宋体" w:hAnsi="宋体" w:eastAsia="宋体" w:cs="宋体"/>
                <w:color w:val="000000"/>
                <w:sz w:val="18"/>
                <w:szCs w:val="18"/>
              </w:rPr>
            </w:pPr>
          </w:p>
        </w:tc>
        <w:tc>
          <w:tcPr>
            <w:tcW w:w="975" w:type="dxa"/>
            <w:vMerge w:val="continue"/>
            <w:tcBorders>
              <w:top w:val="single" w:color="000000" w:sz="4" w:space="0"/>
              <w:left w:val="single" w:color="000000" w:sz="4" w:space="0"/>
              <w:bottom w:val="single" w:color="000000" w:sz="4" w:space="0"/>
              <w:right w:val="single" w:color="000000" w:sz="4" w:space="0"/>
            </w:tcBorders>
            <w:vAlign w:val="center"/>
          </w:tcPr>
          <w:p w14:paraId="09EACE2F">
            <w:pPr>
              <w:jc w:val="center"/>
              <w:rPr>
                <w:rFonts w:ascii="宋体" w:hAnsi="宋体" w:eastAsia="宋体" w:cs="宋体"/>
                <w:color w:val="000000"/>
                <w:sz w:val="18"/>
                <w:szCs w:val="18"/>
              </w:rPr>
            </w:pPr>
          </w:p>
        </w:tc>
        <w:tc>
          <w:tcPr>
            <w:tcW w:w="923" w:type="dxa"/>
            <w:vMerge w:val="continue"/>
            <w:tcBorders>
              <w:top w:val="single" w:color="000000" w:sz="4" w:space="0"/>
              <w:left w:val="single" w:color="000000" w:sz="4" w:space="0"/>
              <w:bottom w:val="single" w:color="000000" w:sz="4" w:space="0"/>
              <w:right w:val="single" w:color="000000" w:sz="4" w:space="0"/>
            </w:tcBorders>
            <w:vAlign w:val="center"/>
          </w:tcPr>
          <w:p w14:paraId="3F206179">
            <w:pPr>
              <w:jc w:val="center"/>
              <w:rPr>
                <w:rFonts w:ascii="宋体" w:hAnsi="宋体" w:eastAsia="宋体" w:cs="宋体"/>
                <w:color w:val="000000"/>
                <w:sz w:val="18"/>
                <w:szCs w:val="18"/>
              </w:rPr>
            </w:pPr>
          </w:p>
        </w:tc>
        <w:tc>
          <w:tcPr>
            <w:tcW w:w="833" w:type="dxa"/>
            <w:vMerge w:val="continue"/>
            <w:tcBorders>
              <w:top w:val="single" w:color="000000" w:sz="4" w:space="0"/>
              <w:left w:val="single" w:color="000000" w:sz="4" w:space="0"/>
              <w:bottom w:val="single" w:color="000000" w:sz="4" w:space="0"/>
              <w:right w:val="single" w:color="000000" w:sz="4" w:space="0"/>
            </w:tcBorders>
            <w:vAlign w:val="center"/>
          </w:tcPr>
          <w:p w14:paraId="6EAEE6C6">
            <w:pPr>
              <w:jc w:val="center"/>
              <w:rPr>
                <w:rFonts w:ascii="宋体" w:hAnsi="宋体" w:eastAsia="宋体" w:cs="宋体"/>
                <w:color w:val="000000"/>
                <w:sz w:val="18"/>
                <w:szCs w:val="18"/>
              </w:rPr>
            </w:pPr>
          </w:p>
        </w:tc>
        <w:tc>
          <w:tcPr>
            <w:tcW w:w="953" w:type="dxa"/>
            <w:vMerge w:val="continue"/>
            <w:tcBorders>
              <w:top w:val="single" w:color="000000" w:sz="4" w:space="0"/>
              <w:left w:val="single" w:color="000000" w:sz="4" w:space="0"/>
              <w:bottom w:val="single" w:color="000000" w:sz="4" w:space="0"/>
              <w:right w:val="single" w:color="000000" w:sz="4" w:space="0"/>
            </w:tcBorders>
            <w:vAlign w:val="center"/>
          </w:tcPr>
          <w:p w14:paraId="7F6208A8">
            <w:pPr>
              <w:jc w:val="center"/>
              <w:rPr>
                <w:rFonts w:ascii="宋体" w:hAnsi="宋体" w:eastAsia="宋体" w:cs="宋体"/>
                <w:color w:val="000000"/>
                <w:sz w:val="18"/>
                <w:szCs w:val="18"/>
              </w:rPr>
            </w:pPr>
          </w:p>
        </w:tc>
        <w:tc>
          <w:tcPr>
            <w:tcW w:w="924" w:type="dxa"/>
            <w:vMerge w:val="continue"/>
            <w:tcBorders>
              <w:top w:val="single" w:color="000000" w:sz="4" w:space="0"/>
              <w:left w:val="single" w:color="000000" w:sz="4" w:space="0"/>
              <w:bottom w:val="single" w:color="000000" w:sz="4" w:space="0"/>
              <w:right w:val="single" w:color="000000" w:sz="4" w:space="0"/>
            </w:tcBorders>
            <w:vAlign w:val="center"/>
          </w:tcPr>
          <w:p w14:paraId="44901D70">
            <w:pPr>
              <w:jc w:val="center"/>
              <w:rPr>
                <w:rFonts w:ascii="宋体" w:hAnsi="宋体" w:eastAsia="宋体" w:cs="宋体"/>
                <w:color w:val="000000"/>
                <w:sz w:val="18"/>
                <w:szCs w:val="18"/>
              </w:rPr>
            </w:pPr>
          </w:p>
        </w:tc>
        <w:tc>
          <w:tcPr>
            <w:tcW w:w="1406" w:type="dxa"/>
            <w:vMerge w:val="continue"/>
            <w:tcBorders>
              <w:top w:val="single" w:color="000000" w:sz="4" w:space="0"/>
              <w:left w:val="single" w:color="000000" w:sz="4" w:space="0"/>
              <w:bottom w:val="single" w:color="000000" w:sz="4" w:space="0"/>
              <w:right w:val="single" w:color="000000" w:sz="4" w:space="0"/>
            </w:tcBorders>
            <w:vAlign w:val="center"/>
          </w:tcPr>
          <w:p w14:paraId="1C470719">
            <w:pPr>
              <w:jc w:val="center"/>
              <w:rPr>
                <w:rFonts w:ascii="宋体" w:hAnsi="宋体" w:eastAsia="宋体" w:cs="宋体"/>
                <w:color w:val="000000"/>
                <w:sz w:val="18"/>
                <w:szCs w:val="18"/>
              </w:rPr>
            </w:pPr>
          </w:p>
        </w:tc>
      </w:tr>
      <w:tr w14:paraId="6867B1CE">
        <w:tblPrEx>
          <w:tblCellMar>
            <w:top w:w="0" w:type="dxa"/>
            <w:left w:w="108" w:type="dxa"/>
            <w:bottom w:w="0" w:type="dxa"/>
            <w:right w:w="108" w:type="dxa"/>
          </w:tblCellMar>
        </w:tblPrEx>
        <w:trPr>
          <w:trHeight w:val="340" w:hRule="atLeast"/>
        </w:trPr>
        <w:tc>
          <w:tcPr>
            <w:tcW w:w="448" w:type="dxa"/>
            <w:tcBorders>
              <w:top w:val="single" w:color="000000" w:sz="4" w:space="0"/>
              <w:left w:val="single" w:color="000000" w:sz="4" w:space="0"/>
              <w:bottom w:val="single" w:color="000000" w:sz="4" w:space="0"/>
              <w:right w:val="single" w:color="000000" w:sz="4" w:space="0"/>
            </w:tcBorders>
            <w:vAlign w:val="center"/>
          </w:tcPr>
          <w:p w14:paraId="630A2D62">
            <w:pPr>
              <w:widowControl/>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442" w:type="dxa"/>
            <w:tcBorders>
              <w:top w:val="single" w:color="000000" w:sz="4" w:space="0"/>
              <w:left w:val="single" w:color="000000" w:sz="4" w:space="0"/>
              <w:bottom w:val="single" w:color="000000" w:sz="4" w:space="0"/>
              <w:right w:val="single" w:color="000000" w:sz="4" w:space="0"/>
            </w:tcBorders>
            <w:noWrap/>
            <w:vAlign w:val="center"/>
          </w:tcPr>
          <w:p w14:paraId="28E64258">
            <w:pPr>
              <w:widowControl/>
              <w:jc w:val="center"/>
              <w:rPr>
                <w:rFonts w:ascii="宋体" w:hAnsi="宋体" w:eastAsia="宋体" w:cs="宋体"/>
                <w:kern w:val="0"/>
                <w:sz w:val="18"/>
                <w:szCs w:val="18"/>
              </w:rPr>
            </w:pPr>
            <w:r>
              <w:rPr>
                <w:rFonts w:hint="eastAsia" w:ascii="宋体" w:hAnsi="宋体" w:eastAsia="宋体" w:cs="宋体"/>
                <w:kern w:val="0"/>
                <w:sz w:val="18"/>
                <w:szCs w:val="18"/>
              </w:rPr>
              <w:t>固玛镇</w:t>
            </w:r>
          </w:p>
        </w:tc>
        <w:tc>
          <w:tcPr>
            <w:tcW w:w="1053" w:type="dxa"/>
            <w:tcBorders>
              <w:top w:val="single" w:color="000000" w:sz="4" w:space="0"/>
              <w:left w:val="single" w:color="000000" w:sz="4" w:space="0"/>
              <w:bottom w:val="single" w:color="000000" w:sz="4" w:space="0"/>
              <w:right w:val="single" w:color="000000" w:sz="4" w:space="0"/>
            </w:tcBorders>
            <w:vAlign w:val="center"/>
          </w:tcPr>
          <w:p w14:paraId="74DA694D">
            <w:pPr>
              <w:widowControl/>
              <w:jc w:val="center"/>
              <w:rPr>
                <w:rFonts w:ascii="宋体" w:hAnsi="宋体" w:eastAsia="宋体" w:cs="宋体"/>
                <w:kern w:val="0"/>
                <w:sz w:val="18"/>
                <w:szCs w:val="18"/>
              </w:rPr>
            </w:pPr>
            <w:r>
              <w:rPr>
                <w:rFonts w:hint="eastAsia" w:ascii="宋体" w:hAnsi="宋体" w:eastAsia="宋体" w:cs="宋体"/>
                <w:kern w:val="0"/>
                <w:sz w:val="18"/>
                <w:szCs w:val="18"/>
              </w:rPr>
              <w:t>18556.35</w:t>
            </w:r>
          </w:p>
        </w:tc>
        <w:tc>
          <w:tcPr>
            <w:tcW w:w="975" w:type="dxa"/>
            <w:tcBorders>
              <w:top w:val="single" w:color="000000" w:sz="4" w:space="0"/>
              <w:left w:val="single" w:color="000000" w:sz="4" w:space="0"/>
              <w:bottom w:val="single" w:color="000000" w:sz="4" w:space="0"/>
              <w:right w:val="single" w:color="000000" w:sz="4" w:space="0"/>
            </w:tcBorders>
            <w:vAlign w:val="center"/>
          </w:tcPr>
          <w:p w14:paraId="3D58D5C9">
            <w:pPr>
              <w:widowControl/>
              <w:jc w:val="center"/>
              <w:rPr>
                <w:rFonts w:ascii="宋体" w:hAnsi="宋体" w:eastAsia="宋体" w:cs="宋体"/>
                <w:kern w:val="0"/>
                <w:sz w:val="18"/>
                <w:szCs w:val="18"/>
              </w:rPr>
            </w:pPr>
            <w:r>
              <w:rPr>
                <w:rFonts w:hint="eastAsia" w:ascii="宋体" w:hAnsi="宋体" w:eastAsia="宋体" w:cs="宋体"/>
                <w:kern w:val="0"/>
                <w:sz w:val="18"/>
                <w:szCs w:val="18"/>
              </w:rPr>
              <w:t>5422</w:t>
            </w:r>
          </w:p>
        </w:tc>
        <w:tc>
          <w:tcPr>
            <w:tcW w:w="923" w:type="dxa"/>
            <w:tcBorders>
              <w:top w:val="single" w:color="000000" w:sz="4" w:space="0"/>
              <w:left w:val="single" w:color="000000" w:sz="4" w:space="0"/>
              <w:bottom w:val="single" w:color="000000" w:sz="4" w:space="0"/>
              <w:right w:val="single" w:color="000000" w:sz="4" w:space="0"/>
            </w:tcBorders>
            <w:vAlign w:val="center"/>
          </w:tcPr>
          <w:p w14:paraId="7438FD39">
            <w:pPr>
              <w:widowControl/>
              <w:jc w:val="center"/>
              <w:rPr>
                <w:rFonts w:ascii="宋体" w:hAnsi="宋体" w:eastAsia="宋体" w:cs="宋体"/>
                <w:kern w:val="0"/>
                <w:sz w:val="18"/>
                <w:szCs w:val="18"/>
              </w:rPr>
            </w:pPr>
            <w:r>
              <w:rPr>
                <w:rFonts w:hint="eastAsia" w:ascii="宋体" w:hAnsi="宋体" w:eastAsia="宋体" w:cs="宋体"/>
                <w:kern w:val="0"/>
                <w:sz w:val="18"/>
                <w:szCs w:val="18"/>
              </w:rPr>
              <w:t>369.2</w:t>
            </w:r>
          </w:p>
        </w:tc>
        <w:tc>
          <w:tcPr>
            <w:tcW w:w="833" w:type="dxa"/>
            <w:tcBorders>
              <w:top w:val="single" w:color="000000" w:sz="4" w:space="0"/>
              <w:left w:val="single" w:color="000000" w:sz="4" w:space="0"/>
              <w:bottom w:val="single" w:color="000000" w:sz="4" w:space="0"/>
              <w:right w:val="single" w:color="000000" w:sz="4" w:space="0"/>
            </w:tcBorders>
            <w:vAlign w:val="center"/>
          </w:tcPr>
          <w:p w14:paraId="77698DAE">
            <w:pPr>
              <w:widowControl/>
              <w:jc w:val="center"/>
              <w:rPr>
                <w:rFonts w:ascii="宋体" w:hAnsi="宋体" w:eastAsia="宋体" w:cs="宋体"/>
                <w:kern w:val="0"/>
                <w:sz w:val="18"/>
                <w:szCs w:val="18"/>
              </w:rPr>
            </w:pPr>
            <w:r>
              <w:rPr>
                <w:rFonts w:hint="eastAsia" w:ascii="宋体" w:hAnsi="宋体" w:eastAsia="宋体" w:cs="宋体"/>
                <w:kern w:val="0"/>
                <w:sz w:val="18"/>
                <w:szCs w:val="18"/>
              </w:rPr>
              <w:t>265</w:t>
            </w:r>
          </w:p>
        </w:tc>
        <w:tc>
          <w:tcPr>
            <w:tcW w:w="953" w:type="dxa"/>
            <w:tcBorders>
              <w:top w:val="single" w:color="000000" w:sz="4" w:space="0"/>
              <w:left w:val="single" w:color="000000" w:sz="4" w:space="0"/>
              <w:bottom w:val="single" w:color="000000" w:sz="4" w:space="0"/>
              <w:right w:val="single" w:color="000000" w:sz="4" w:space="0"/>
            </w:tcBorders>
            <w:vAlign w:val="center"/>
          </w:tcPr>
          <w:p w14:paraId="6B6159A0">
            <w:pPr>
              <w:widowControl/>
              <w:jc w:val="center"/>
              <w:rPr>
                <w:rFonts w:ascii="宋体" w:hAnsi="宋体" w:eastAsia="宋体" w:cs="宋体"/>
                <w:kern w:val="0"/>
                <w:sz w:val="18"/>
                <w:szCs w:val="18"/>
              </w:rPr>
            </w:pPr>
            <w:r>
              <w:rPr>
                <w:rFonts w:hint="eastAsia" w:ascii="宋体" w:hAnsi="宋体" w:eastAsia="宋体" w:cs="宋体"/>
                <w:kern w:val="0"/>
                <w:sz w:val="18"/>
                <w:szCs w:val="18"/>
              </w:rPr>
              <w:t>0.85</w:t>
            </w:r>
          </w:p>
        </w:tc>
        <w:tc>
          <w:tcPr>
            <w:tcW w:w="924" w:type="dxa"/>
            <w:tcBorders>
              <w:top w:val="single" w:color="000000" w:sz="4" w:space="0"/>
              <w:left w:val="single" w:color="000000" w:sz="4" w:space="0"/>
              <w:bottom w:val="single" w:color="000000" w:sz="4" w:space="0"/>
              <w:right w:val="single" w:color="000000" w:sz="4" w:space="0"/>
            </w:tcBorders>
            <w:vAlign w:val="center"/>
          </w:tcPr>
          <w:p w14:paraId="6471B969">
            <w:pPr>
              <w:widowControl/>
              <w:jc w:val="center"/>
              <w:rPr>
                <w:rFonts w:ascii="宋体" w:hAnsi="宋体" w:eastAsia="宋体" w:cs="宋体"/>
                <w:kern w:val="0"/>
                <w:sz w:val="18"/>
                <w:szCs w:val="18"/>
              </w:rPr>
            </w:pPr>
            <w:r>
              <w:rPr>
                <w:rFonts w:hint="eastAsia" w:ascii="宋体" w:hAnsi="宋体" w:eastAsia="宋体" w:cs="宋体"/>
                <w:kern w:val="0"/>
                <w:sz w:val="18"/>
                <w:szCs w:val="18"/>
              </w:rPr>
              <w:t>450.91</w:t>
            </w:r>
          </w:p>
        </w:tc>
        <w:tc>
          <w:tcPr>
            <w:tcW w:w="1406" w:type="dxa"/>
            <w:tcBorders>
              <w:top w:val="single" w:color="000000" w:sz="4" w:space="0"/>
              <w:left w:val="single" w:color="000000" w:sz="4" w:space="0"/>
              <w:bottom w:val="single" w:color="000000" w:sz="4" w:space="0"/>
              <w:right w:val="single" w:color="000000" w:sz="4" w:space="0"/>
            </w:tcBorders>
            <w:vAlign w:val="center"/>
          </w:tcPr>
          <w:p w14:paraId="6CFA6317">
            <w:pPr>
              <w:widowControl/>
              <w:jc w:val="center"/>
              <w:rPr>
                <w:rFonts w:ascii="宋体" w:hAnsi="宋体" w:eastAsia="宋体" w:cs="宋体"/>
                <w:kern w:val="0"/>
                <w:sz w:val="18"/>
                <w:szCs w:val="18"/>
              </w:rPr>
            </w:pPr>
            <w:r>
              <w:rPr>
                <w:rFonts w:hint="eastAsia" w:ascii="宋体" w:hAnsi="宋体" w:eastAsia="宋体" w:cs="宋体"/>
                <w:kern w:val="0"/>
                <w:sz w:val="18"/>
                <w:szCs w:val="18"/>
              </w:rPr>
              <w:t>8367169.38</w:t>
            </w:r>
          </w:p>
        </w:tc>
      </w:tr>
      <w:tr w14:paraId="49E2B9EC">
        <w:tblPrEx>
          <w:tblCellMar>
            <w:top w:w="0" w:type="dxa"/>
            <w:left w:w="108" w:type="dxa"/>
            <w:bottom w:w="0" w:type="dxa"/>
            <w:right w:w="108" w:type="dxa"/>
          </w:tblCellMar>
        </w:tblPrEx>
        <w:trPr>
          <w:trHeight w:val="340" w:hRule="atLeast"/>
        </w:trPr>
        <w:tc>
          <w:tcPr>
            <w:tcW w:w="448" w:type="dxa"/>
            <w:tcBorders>
              <w:top w:val="single" w:color="000000" w:sz="4" w:space="0"/>
              <w:left w:val="single" w:color="000000" w:sz="4" w:space="0"/>
              <w:bottom w:val="single" w:color="000000" w:sz="4" w:space="0"/>
              <w:right w:val="single" w:color="000000" w:sz="4" w:space="0"/>
            </w:tcBorders>
            <w:vAlign w:val="center"/>
          </w:tcPr>
          <w:p w14:paraId="0919AEDB">
            <w:pPr>
              <w:widowControl/>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442" w:type="dxa"/>
            <w:tcBorders>
              <w:top w:val="single" w:color="000000" w:sz="4" w:space="0"/>
              <w:left w:val="single" w:color="000000" w:sz="4" w:space="0"/>
              <w:bottom w:val="single" w:color="000000" w:sz="4" w:space="0"/>
              <w:right w:val="single" w:color="000000" w:sz="4" w:space="0"/>
            </w:tcBorders>
            <w:vAlign w:val="center"/>
          </w:tcPr>
          <w:p w14:paraId="0B852C91">
            <w:pPr>
              <w:widowControl/>
              <w:jc w:val="center"/>
              <w:rPr>
                <w:rFonts w:ascii="宋体" w:hAnsi="宋体" w:eastAsia="宋体" w:cs="宋体"/>
                <w:kern w:val="0"/>
                <w:sz w:val="18"/>
                <w:szCs w:val="18"/>
              </w:rPr>
            </w:pPr>
            <w:r>
              <w:rPr>
                <w:rFonts w:hint="eastAsia" w:ascii="宋体" w:hAnsi="宋体" w:eastAsia="宋体" w:cs="宋体"/>
                <w:kern w:val="0"/>
                <w:sz w:val="18"/>
                <w:szCs w:val="18"/>
              </w:rPr>
              <w:t>科克铁热克镇</w:t>
            </w:r>
          </w:p>
        </w:tc>
        <w:tc>
          <w:tcPr>
            <w:tcW w:w="1053" w:type="dxa"/>
            <w:tcBorders>
              <w:top w:val="single" w:color="000000" w:sz="4" w:space="0"/>
              <w:left w:val="single" w:color="000000" w:sz="4" w:space="0"/>
              <w:bottom w:val="single" w:color="000000" w:sz="4" w:space="0"/>
              <w:right w:val="single" w:color="000000" w:sz="4" w:space="0"/>
            </w:tcBorders>
            <w:vAlign w:val="center"/>
          </w:tcPr>
          <w:p w14:paraId="10E1B599">
            <w:pPr>
              <w:widowControl/>
              <w:jc w:val="center"/>
              <w:rPr>
                <w:rFonts w:ascii="宋体" w:hAnsi="宋体" w:eastAsia="宋体" w:cs="宋体"/>
                <w:kern w:val="0"/>
                <w:sz w:val="18"/>
                <w:szCs w:val="18"/>
              </w:rPr>
            </w:pPr>
            <w:r>
              <w:rPr>
                <w:rFonts w:hint="eastAsia" w:ascii="宋体" w:hAnsi="宋体" w:eastAsia="宋体" w:cs="宋体"/>
                <w:kern w:val="0"/>
                <w:sz w:val="18"/>
                <w:szCs w:val="18"/>
              </w:rPr>
              <w:t>30979.65</w:t>
            </w:r>
          </w:p>
        </w:tc>
        <w:tc>
          <w:tcPr>
            <w:tcW w:w="975" w:type="dxa"/>
            <w:tcBorders>
              <w:top w:val="single" w:color="000000" w:sz="4" w:space="0"/>
              <w:left w:val="single" w:color="000000" w:sz="4" w:space="0"/>
              <w:bottom w:val="single" w:color="000000" w:sz="4" w:space="0"/>
              <w:right w:val="single" w:color="000000" w:sz="4" w:space="0"/>
            </w:tcBorders>
            <w:vAlign w:val="center"/>
          </w:tcPr>
          <w:p w14:paraId="519C662E">
            <w:pPr>
              <w:widowControl/>
              <w:jc w:val="center"/>
              <w:rPr>
                <w:rFonts w:ascii="宋体" w:hAnsi="宋体" w:eastAsia="宋体" w:cs="宋体"/>
                <w:kern w:val="0"/>
                <w:sz w:val="18"/>
                <w:szCs w:val="18"/>
              </w:rPr>
            </w:pPr>
            <w:r>
              <w:rPr>
                <w:rFonts w:hint="eastAsia" w:ascii="宋体" w:hAnsi="宋体" w:eastAsia="宋体" w:cs="宋体"/>
                <w:kern w:val="0"/>
                <w:sz w:val="18"/>
                <w:szCs w:val="18"/>
              </w:rPr>
              <w:t>5573</w:t>
            </w:r>
          </w:p>
        </w:tc>
        <w:tc>
          <w:tcPr>
            <w:tcW w:w="923" w:type="dxa"/>
            <w:tcBorders>
              <w:top w:val="single" w:color="000000" w:sz="4" w:space="0"/>
              <w:left w:val="single" w:color="000000" w:sz="4" w:space="0"/>
              <w:bottom w:val="single" w:color="000000" w:sz="4" w:space="0"/>
              <w:right w:val="single" w:color="000000" w:sz="4" w:space="0"/>
            </w:tcBorders>
            <w:vAlign w:val="center"/>
          </w:tcPr>
          <w:p w14:paraId="07E585DD">
            <w:pPr>
              <w:widowControl/>
              <w:jc w:val="center"/>
              <w:rPr>
                <w:rFonts w:ascii="宋体" w:hAnsi="宋体" w:eastAsia="宋体" w:cs="宋体"/>
                <w:kern w:val="0"/>
                <w:sz w:val="18"/>
                <w:szCs w:val="18"/>
              </w:rPr>
            </w:pPr>
            <w:r>
              <w:rPr>
                <w:rFonts w:hint="eastAsia" w:ascii="宋体" w:hAnsi="宋体" w:eastAsia="宋体" w:cs="宋体"/>
                <w:kern w:val="0"/>
                <w:sz w:val="18"/>
                <w:szCs w:val="18"/>
              </w:rPr>
              <w:t>392.9</w:t>
            </w:r>
          </w:p>
        </w:tc>
        <w:tc>
          <w:tcPr>
            <w:tcW w:w="833" w:type="dxa"/>
            <w:tcBorders>
              <w:top w:val="single" w:color="000000" w:sz="4" w:space="0"/>
              <w:left w:val="single" w:color="000000" w:sz="4" w:space="0"/>
              <w:bottom w:val="single" w:color="000000" w:sz="4" w:space="0"/>
              <w:right w:val="single" w:color="000000" w:sz="4" w:space="0"/>
            </w:tcBorders>
            <w:vAlign w:val="center"/>
          </w:tcPr>
          <w:p w14:paraId="5E7C4F19">
            <w:pPr>
              <w:widowControl/>
              <w:jc w:val="center"/>
              <w:rPr>
                <w:rFonts w:ascii="宋体" w:hAnsi="宋体" w:eastAsia="宋体" w:cs="宋体"/>
                <w:kern w:val="0"/>
                <w:sz w:val="18"/>
                <w:szCs w:val="18"/>
              </w:rPr>
            </w:pPr>
            <w:r>
              <w:rPr>
                <w:rFonts w:hint="eastAsia" w:ascii="宋体" w:hAnsi="宋体" w:eastAsia="宋体" w:cs="宋体"/>
                <w:kern w:val="0"/>
                <w:sz w:val="18"/>
                <w:szCs w:val="18"/>
              </w:rPr>
              <w:t>265</w:t>
            </w:r>
          </w:p>
        </w:tc>
        <w:tc>
          <w:tcPr>
            <w:tcW w:w="953" w:type="dxa"/>
            <w:tcBorders>
              <w:top w:val="single" w:color="000000" w:sz="4" w:space="0"/>
              <w:left w:val="single" w:color="000000" w:sz="4" w:space="0"/>
              <w:bottom w:val="single" w:color="000000" w:sz="4" w:space="0"/>
              <w:right w:val="single" w:color="000000" w:sz="4" w:space="0"/>
            </w:tcBorders>
            <w:vAlign w:val="center"/>
          </w:tcPr>
          <w:p w14:paraId="480A1DE3">
            <w:pPr>
              <w:widowControl/>
              <w:jc w:val="center"/>
              <w:rPr>
                <w:rFonts w:ascii="宋体" w:hAnsi="宋体" w:eastAsia="宋体" w:cs="宋体"/>
                <w:kern w:val="0"/>
                <w:sz w:val="18"/>
                <w:szCs w:val="18"/>
              </w:rPr>
            </w:pPr>
            <w:r>
              <w:rPr>
                <w:rFonts w:hint="eastAsia" w:ascii="宋体" w:hAnsi="宋体" w:eastAsia="宋体" w:cs="宋体"/>
                <w:kern w:val="0"/>
                <w:sz w:val="18"/>
                <w:szCs w:val="18"/>
              </w:rPr>
              <w:t>0.85</w:t>
            </w:r>
          </w:p>
        </w:tc>
        <w:tc>
          <w:tcPr>
            <w:tcW w:w="924" w:type="dxa"/>
            <w:tcBorders>
              <w:top w:val="single" w:color="000000" w:sz="4" w:space="0"/>
              <w:left w:val="single" w:color="000000" w:sz="4" w:space="0"/>
              <w:bottom w:val="single" w:color="000000" w:sz="4" w:space="0"/>
              <w:right w:val="single" w:color="000000" w:sz="4" w:space="0"/>
            </w:tcBorders>
            <w:vAlign w:val="center"/>
          </w:tcPr>
          <w:p w14:paraId="376B3C35">
            <w:pPr>
              <w:widowControl/>
              <w:jc w:val="center"/>
              <w:rPr>
                <w:rFonts w:ascii="宋体" w:hAnsi="宋体" w:eastAsia="宋体" w:cs="宋体"/>
                <w:kern w:val="0"/>
                <w:sz w:val="18"/>
                <w:szCs w:val="18"/>
              </w:rPr>
            </w:pPr>
            <w:r>
              <w:rPr>
                <w:rFonts w:hint="eastAsia" w:ascii="宋体" w:hAnsi="宋体" w:eastAsia="宋体" w:cs="宋体"/>
                <w:kern w:val="0"/>
                <w:sz w:val="18"/>
                <w:szCs w:val="18"/>
              </w:rPr>
              <w:t>493.21</w:t>
            </w:r>
          </w:p>
        </w:tc>
        <w:tc>
          <w:tcPr>
            <w:tcW w:w="1406" w:type="dxa"/>
            <w:tcBorders>
              <w:top w:val="single" w:color="000000" w:sz="4" w:space="0"/>
              <w:left w:val="single" w:color="000000" w:sz="4" w:space="0"/>
              <w:bottom w:val="single" w:color="000000" w:sz="4" w:space="0"/>
              <w:right w:val="single" w:color="000000" w:sz="4" w:space="0"/>
            </w:tcBorders>
            <w:vAlign w:val="center"/>
          </w:tcPr>
          <w:p w14:paraId="1654A363">
            <w:pPr>
              <w:widowControl/>
              <w:jc w:val="center"/>
              <w:rPr>
                <w:rFonts w:ascii="宋体" w:hAnsi="宋体" w:eastAsia="宋体" w:cs="宋体"/>
                <w:kern w:val="0"/>
                <w:sz w:val="18"/>
                <w:szCs w:val="18"/>
              </w:rPr>
            </w:pPr>
            <w:r>
              <w:rPr>
                <w:rFonts w:hint="eastAsia" w:ascii="宋体" w:hAnsi="宋体" w:eastAsia="宋体" w:cs="宋体"/>
                <w:kern w:val="0"/>
                <w:sz w:val="18"/>
                <w:szCs w:val="18"/>
              </w:rPr>
              <w:t>15279613.84</w:t>
            </w:r>
          </w:p>
        </w:tc>
      </w:tr>
      <w:tr w14:paraId="1765FFC2">
        <w:tblPrEx>
          <w:tblCellMar>
            <w:top w:w="0" w:type="dxa"/>
            <w:left w:w="108" w:type="dxa"/>
            <w:bottom w:w="0" w:type="dxa"/>
            <w:right w:w="108" w:type="dxa"/>
          </w:tblCellMar>
        </w:tblPrEx>
        <w:trPr>
          <w:trHeight w:val="340" w:hRule="atLeast"/>
        </w:trPr>
        <w:tc>
          <w:tcPr>
            <w:tcW w:w="448" w:type="dxa"/>
            <w:tcBorders>
              <w:top w:val="single" w:color="000000" w:sz="4" w:space="0"/>
              <w:left w:val="single" w:color="000000" w:sz="4" w:space="0"/>
              <w:bottom w:val="single" w:color="000000" w:sz="4" w:space="0"/>
              <w:right w:val="single" w:color="000000" w:sz="4" w:space="0"/>
            </w:tcBorders>
            <w:vAlign w:val="center"/>
          </w:tcPr>
          <w:p w14:paraId="703B48B0">
            <w:pPr>
              <w:widowControl/>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1442" w:type="dxa"/>
            <w:tcBorders>
              <w:top w:val="single" w:color="000000" w:sz="4" w:space="0"/>
              <w:left w:val="single" w:color="000000" w:sz="4" w:space="0"/>
              <w:bottom w:val="single" w:color="000000" w:sz="4" w:space="0"/>
              <w:right w:val="single" w:color="000000" w:sz="4" w:space="0"/>
            </w:tcBorders>
            <w:noWrap/>
            <w:vAlign w:val="center"/>
          </w:tcPr>
          <w:p w14:paraId="06B1A76B">
            <w:pPr>
              <w:widowControl/>
              <w:jc w:val="center"/>
              <w:rPr>
                <w:rFonts w:ascii="宋体" w:hAnsi="宋体" w:eastAsia="宋体" w:cs="宋体"/>
                <w:kern w:val="0"/>
                <w:sz w:val="18"/>
                <w:szCs w:val="18"/>
              </w:rPr>
            </w:pPr>
            <w:r>
              <w:rPr>
                <w:rFonts w:hint="eastAsia" w:ascii="宋体" w:hAnsi="宋体" w:eastAsia="宋体" w:cs="宋体"/>
                <w:kern w:val="0"/>
                <w:sz w:val="18"/>
                <w:szCs w:val="18"/>
              </w:rPr>
              <w:t>木奎拉乡</w:t>
            </w:r>
          </w:p>
        </w:tc>
        <w:tc>
          <w:tcPr>
            <w:tcW w:w="1053" w:type="dxa"/>
            <w:tcBorders>
              <w:top w:val="single" w:color="000000" w:sz="4" w:space="0"/>
              <w:left w:val="single" w:color="000000" w:sz="4" w:space="0"/>
              <w:bottom w:val="single" w:color="000000" w:sz="4" w:space="0"/>
              <w:right w:val="single" w:color="000000" w:sz="4" w:space="0"/>
            </w:tcBorders>
            <w:vAlign w:val="center"/>
          </w:tcPr>
          <w:p w14:paraId="7A677B96">
            <w:pPr>
              <w:widowControl/>
              <w:jc w:val="center"/>
              <w:rPr>
                <w:rFonts w:ascii="宋体" w:hAnsi="宋体" w:eastAsia="宋体" w:cs="宋体"/>
                <w:kern w:val="0"/>
                <w:sz w:val="18"/>
                <w:szCs w:val="18"/>
              </w:rPr>
            </w:pPr>
            <w:r>
              <w:rPr>
                <w:rFonts w:hint="eastAsia" w:ascii="宋体" w:hAnsi="宋体" w:eastAsia="宋体" w:cs="宋体"/>
                <w:kern w:val="0"/>
                <w:sz w:val="18"/>
                <w:szCs w:val="18"/>
              </w:rPr>
              <w:t>25941.15</w:t>
            </w:r>
          </w:p>
        </w:tc>
        <w:tc>
          <w:tcPr>
            <w:tcW w:w="975" w:type="dxa"/>
            <w:tcBorders>
              <w:top w:val="single" w:color="000000" w:sz="4" w:space="0"/>
              <w:left w:val="single" w:color="000000" w:sz="4" w:space="0"/>
              <w:bottom w:val="single" w:color="000000" w:sz="4" w:space="0"/>
              <w:right w:val="single" w:color="000000" w:sz="4" w:space="0"/>
            </w:tcBorders>
            <w:vAlign w:val="center"/>
          </w:tcPr>
          <w:p w14:paraId="12DB07B2">
            <w:pPr>
              <w:widowControl/>
              <w:jc w:val="center"/>
              <w:rPr>
                <w:rFonts w:ascii="宋体" w:hAnsi="宋体" w:eastAsia="宋体" w:cs="宋体"/>
                <w:kern w:val="0"/>
                <w:sz w:val="18"/>
                <w:szCs w:val="18"/>
              </w:rPr>
            </w:pPr>
            <w:r>
              <w:rPr>
                <w:rFonts w:hint="eastAsia" w:ascii="宋体" w:hAnsi="宋体" w:eastAsia="宋体" w:cs="宋体"/>
                <w:kern w:val="0"/>
                <w:sz w:val="18"/>
                <w:szCs w:val="18"/>
              </w:rPr>
              <w:t>5498</w:t>
            </w:r>
          </w:p>
        </w:tc>
        <w:tc>
          <w:tcPr>
            <w:tcW w:w="923" w:type="dxa"/>
            <w:tcBorders>
              <w:top w:val="single" w:color="000000" w:sz="4" w:space="0"/>
              <w:left w:val="single" w:color="000000" w:sz="4" w:space="0"/>
              <w:bottom w:val="single" w:color="000000" w:sz="4" w:space="0"/>
              <w:right w:val="single" w:color="000000" w:sz="4" w:space="0"/>
            </w:tcBorders>
            <w:vAlign w:val="center"/>
          </w:tcPr>
          <w:p w14:paraId="0C72A10E">
            <w:pPr>
              <w:widowControl/>
              <w:jc w:val="center"/>
              <w:rPr>
                <w:rFonts w:ascii="宋体" w:hAnsi="宋体" w:eastAsia="宋体" w:cs="宋体"/>
                <w:kern w:val="0"/>
                <w:sz w:val="18"/>
                <w:szCs w:val="18"/>
              </w:rPr>
            </w:pPr>
            <w:r>
              <w:rPr>
                <w:rFonts w:hint="eastAsia" w:ascii="宋体" w:hAnsi="宋体" w:eastAsia="宋体" w:cs="宋体"/>
                <w:kern w:val="0"/>
                <w:sz w:val="18"/>
                <w:szCs w:val="18"/>
              </w:rPr>
              <w:t>394.2</w:t>
            </w:r>
          </w:p>
        </w:tc>
        <w:tc>
          <w:tcPr>
            <w:tcW w:w="833" w:type="dxa"/>
            <w:tcBorders>
              <w:top w:val="single" w:color="000000" w:sz="4" w:space="0"/>
              <w:left w:val="single" w:color="000000" w:sz="4" w:space="0"/>
              <w:bottom w:val="single" w:color="000000" w:sz="4" w:space="0"/>
              <w:right w:val="single" w:color="000000" w:sz="4" w:space="0"/>
            </w:tcBorders>
            <w:vAlign w:val="center"/>
          </w:tcPr>
          <w:p w14:paraId="040E4A57">
            <w:pPr>
              <w:widowControl/>
              <w:jc w:val="center"/>
              <w:rPr>
                <w:rFonts w:ascii="宋体" w:hAnsi="宋体" w:eastAsia="宋体" w:cs="宋体"/>
                <w:kern w:val="0"/>
                <w:sz w:val="18"/>
                <w:szCs w:val="18"/>
              </w:rPr>
            </w:pPr>
            <w:r>
              <w:rPr>
                <w:rFonts w:hint="eastAsia" w:ascii="宋体" w:hAnsi="宋体" w:eastAsia="宋体" w:cs="宋体"/>
                <w:kern w:val="0"/>
                <w:sz w:val="18"/>
                <w:szCs w:val="18"/>
              </w:rPr>
              <w:t>265</w:t>
            </w:r>
          </w:p>
        </w:tc>
        <w:tc>
          <w:tcPr>
            <w:tcW w:w="953" w:type="dxa"/>
            <w:tcBorders>
              <w:top w:val="single" w:color="000000" w:sz="4" w:space="0"/>
              <w:left w:val="single" w:color="000000" w:sz="4" w:space="0"/>
              <w:bottom w:val="single" w:color="000000" w:sz="4" w:space="0"/>
              <w:right w:val="single" w:color="000000" w:sz="4" w:space="0"/>
            </w:tcBorders>
            <w:vAlign w:val="center"/>
          </w:tcPr>
          <w:p w14:paraId="767FE282">
            <w:pPr>
              <w:widowControl/>
              <w:jc w:val="center"/>
              <w:rPr>
                <w:rFonts w:ascii="宋体" w:hAnsi="宋体" w:eastAsia="宋体" w:cs="宋体"/>
                <w:kern w:val="0"/>
                <w:sz w:val="18"/>
                <w:szCs w:val="18"/>
              </w:rPr>
            </w:pPr>
            <w:r>
              <w:rPr>
                <w:rFonts w:hint="eastAsia" w:ascii="宋体" w:hAnsi="宋体" w:eastAsia="宋体" w:cs="宋体"/>
                <w:kern w:val="0"/>
                <w:sz w:val="18"/>
                <w:szCs w:val="18"/>
              </w:rPr>
              <w:t>0.85</w:t>
            </w:r>
          </w:p>
        </w:tc>
        <w:tc>
          <w:tcPr>
            <w:tcW w:w="924" w:type="dxa"/>
            <w:tcBorders>
              <w:top w:val="single" w:color="000000" w:sz="4" w:space="0"/>
              <w:left w:val="single" w:color="000000" w:sz="4" w:space="0"/>
              <w:bottom w:val="single" w:color="000000" w:sz="4" w:space="0"/>
              <w:right w:val="single" w:color="000000" w:sz="4" w:space="0"/>
            </w:tcBorders>
            <w:vAlign w:val="center"/>
          </w:tcPr>
          <w:p w14:paraId="5C748074">
            <w:pPr>
              <w:widowControl/>
              <w:jc w:val="center"/>
              <w:rPr>
                <w:rFonts w:ascii="宋体" w:hAnsi="宋体" w:eastAsia="宋体" w:cs="宋体"/>
                <w:kern w:val="0"/>
                <w:sz w:val="18"/>
                <w:szCs w:val="18"/>
              </w:rPr>
            </w:pPr>
            <w:r>
              <w:rPr>
                <w:rFonts w:hint="eastAsia" w:ascii="宋体" w:hAnsi="宋体" w:eastAsia="宋体" w:cs="宋体"/>
                <w:kern w:val="0"/>
                <w:sz w:val="18"/>
                <w:szCs w:val="18"/>
              </w:rPr>
              <w:t>488.19</w:t>
            </w:r>
          </w:p>
        </w:tc>
        <w:tc>
          <w:tcPr>
            <w:tcW w:w="1406" w:type="dxa"/>
            <w:tcBorders>
              <w:top w:val="single" w:color="000000" w:sz="4" w:space="0"/>
              <w:left w:val="single" w:color="000000" w:sz="4" w:space="0"/>
              <w:bottom w:val="single" w:color="000000" w:sz="4" w:space="0"/>
              <w:right w:val="single" w:color="000000" w:sz="4" w:space="0"/>
            </w:tcBorders>
            <w:vAlign w:val="center"/>
          </w:tcPr>
          <w:p w14:paraId="260F0E5E">
            <w:pPr>
              <w:widowControl/>
              <w:jc w:val="center"/>
              <w:rPr>
                <w:rFonts w:ascii="宋体" w:hAnsi="宋体" w:eastAsia="宋体" w:cs="宋体"/>
                <w:kern w:val="0"/>
                <w:sz w:val="18"/>
                <w:szCs w:val="18"/>
              </w:rPr>
            </w:pPr>
            <w:r>
              <w:rPr>
                <w:rFonts w:hint="eastAsia" w:ascii="宋体" w:hAnsi="宋体" w:eastAsia="宋体" w:cs="宋体"/>
                <w:kern w:val="0"/>
                <w:sz w:val="18"/>
                <w:szCs w:val="18"/>
              </w:rPr>
              <w:t>12664130.58</w:t>
            </w:r>
          </w:p>
        </w:tc>
      </w:tr>
      <w:tr w14:paraId="2911799F">
        <w:tblPrEx>
          <w:tblCellMar>
            <w:top w:w="0" w:type="dxa"/>
            <w:left w:w="108" w:type="dxa"/>
            <w:bottom w:w="0" w:type="dxa"/>
            <w:right w:w="108" w:type="dxa"/>
          </w:tblCellMar>
        </w:tblPrEx>
        <w:trPr>
          <w:trHeight w:val="340" w:hRule="atLeast"/>
        </w:trPr>
        <w:tc>
          <w:tcPr>
            <w:tcW w:w="448" w:type="dxa"/>
            <w:tcBorders>
              <w:top w:val="single" w:color="000000" w:sz="4" w:space="0"/>
              <w:left w:val="single" w:color="000000" w:sz="4" w:space="0"/>
              <w:bottom w:val="single" w:color="000000" w:sz="4" w:space="0"/>
              <w:right w:val="single" w:color="000000" w:sz="4" w:space="0"/>
            </w:tcBorders>
            <w:vAlign w:val="center"/>
          </w:tcPr>
          <w:p w14:paraId="00C586C7">
            <w:pPr>
              <w:widowControl/>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442" w:type="dxa"/>
            <w:tcBorders>
              <w:top w:val="single" w:color="000000" w:sz="4" w:space="0"/>
              <w:left w:val="single" w:color="000000" w:sz="4" w:space="0"/>
              <w:bottom w:val="single" w:color="000000" w:sz="4" w:space="0"/>
              <w:right w:val="single" w:color="000000" w:sz="4" w:space="0"/>
            </w:tcBorders>
            <w:noWrap/>
            <w:vAlign w:val="center"/>
          </w:tcPr>
          <w:p w14:paraId="24D7EFE7">
            <w:pPr>
              <w:widowControl/>
              <w:jc w:val="center"/>
              <w:rPr>
                <w:rFonts w:ascii="宋体" w:hAnsi="宋体" w:eastAsia="宋体" w:cs="宋体"/>
                <w:kern w:val="0"/>
                <w:sz w:val="18"/>
                <w:szCs w:val="18"/>
              </w:rPr>
            </w:pPr>
            <w:r>
              <w:rPr>
                <w:rFonts w:hint="eastAsia" w:ascii="宋体" w:hAnsi="宋体" w:eastAsia="宋体" w:cs="宋体"/>
                <w:kern w:val="0"/>
                <w:sz w:val="18"/>
                <w:szCs w:val="18"/>
              </w:rPr>
              <w:t>乔达乡</w:t>
            </w:r>
          </w:p>
        </w:tc>
        <w:tc>
          <w:tcPr>
            <w:tcW w:w="1053" w:type="dxa"/>
            <w:tcBorders>
              <w:top w:val="single" w:color="000000" w:sz="4" w:space="0"/>
              <w:left w:val="single" w:color="000000" w:sz="4" w:space="0"/>
              <w:bottom w:val="single" w:color="000000" w:sz="4" w:space="0"/>
              <w:right w:val="single" w:color="000000" w:sz="4" w:space="0"/>
            </w:tcBorders>
            <w:vAlign w:val="center"/>
          </w:tcPr>
          <w:p w14:paraId="522A046D">
            <w:pPr>
              <w:widowControl/>
              <w:jc w:val="center"/>
              <w:rPr>
                <w:rFonts w:ascii="宋体" w:hAnsi="宋体" w:eastAsia="宋体" w:cs="宋体"/>
                <w:kern w:val="0"/>
                <w:sz w:val="18"/>
                <w:szCs w:val="18"/>
              </w:rPr>
            </w:pPr>
            <w:r>
              <w:rPr>
                <w:rFonts w:hint="eastAsia" w:ascii="宋体" w:hAnsi="宋体" w:eastAsia="宋体" w:cs="宋体"/>
                <w:kern w:val="0"/>
                <w:sz w:val="18"/>
                <w:szCs w:val="18"/>
              </w:rPr>
              <w:t>10930.57</w:t>
            </w:r>
          </w:p>
        </w:tc>
        <w:tc>
          <w:tcPr>
            <w:tcW w:w="975" w:type="dxa"/>
            <w:tcBorders>
              <w:top w:val="single" w:color="000000" w:sz="4" w:space="0"/>
              <w:left w:val="single" w:color="000000" w:sz="4" w:space="0"/>
              <w:bottom w:val="single" w:color="000000" w:sz="4" w:space="0"/>
              <w:right w:val="single" w:color="000000" w:sz="4" w:space="0"/>
            </w:tcBorders>
            <w:vAlign w:val="center"/>
          </w:tcPr>
          <w:p w14:paraId="38D1C2EE">
            <w:pPr>
              <w:widowControl/>
              <w:jc w:val="center"/>
              <w:rPr>
                <w:rFonts w:ascii="宋体" w:hAnsi="宋体" w:eastAsia="宋体" w:cs="宋体"/>
                <w:kern w:val="0"/>
                <w:sz w:val="18"/>
                <w:szCs w:val="18"/>
              </w:rPr>
            </w:pPr>
            <w:r>
              <w:rPr>
                <w:rFonts w:hint="eastAsia" w:ascii="宋体" w:hAnsi="宋体" w:eastAsia="宋体" w:cs="宋体"/>
                <w:kern w:val="0"/>
                <w:sz w:val="18"/>
                <w:szCs w:val="18"/>
              </w:rPr>
              <w:t>5617</w:t>
            </w:r>
          </w:p>
        </w:tc>
        <w:tc>
          <w:tcPr>
            <w:tcW w:w="923" w:type="dxa"/>
            <w:tcBorders>
              <w:top w:val="single" w:color="000000" w:sz="4" w:space="0"/>
              <w:left w:val="single" w:color="000000" w:sz="4" w:space="0"/>
              <w:bottom w:val="single" w:color="000000" w:sz="4" w:space="0"/>
              <w:right w:val="single" w:color="000000" w:sz="4" w:space="0"/>
            </w:tcBorders>
            <w:vAlign w:val="center"/>
          </w:tcPr>
          <w:p w14:paraId="3B248209">
            <w:pPr>
              <w:widowControl/>
              <w:jc w:val="center"/>
              <w:rPr>
                <w:rFonts w:ascii="宋体" w:hAnsi="宋体" w:eastAsia="宋体" w:cs="宋体"/>
                <w:kern w:val="0"/>
                <w:sz w:val="18"/>
                <w:szCs w:val="18"/>
              </w:rPr>
            </w:pPr>
            <w:r>
              <w:rPr>
                <w:rFonts w:hint="eastAsia" w:ascii="宋体" w:hAnsi="宋体" w:eastAsia="宋体" w:cs="宋体"/>
                <w:kern w:val="0"/>
                <w:sz w:val="18"/>
                <w:szCs w:val="18"/>
              </w:rPr>
              <w:t>380.6</w:t>
            </w:r>
          </w:p>
        </w:tc>
        <w:tc>
          <w:tcPr>
            <w:tcW w:w="833" w:type="dxa"/>
            <w:tcBorders>
              <w:top w:val="single" w:color="000000" w:sz="4" w:space="0"/>
              <w:left w:val="single" w:color="000000" w:sz="4" w:space="0"/>
              <w:bottom w:val="single" w:color="000000" w:sz="4" w:space="0"/>
              <w:right w:val="single" w:color="000000" w:sz="4" w:space="0"/>
            </w:tcBorders>
            <w:vAlign w:val="center"/>
          </w:tcPr>
          <w:p w14:paraId="2D09BD47">
            <w:pPr>
              <w:widowControl/>
              <w:jc w:val="center"/>
              <w:rPr>
                <w:rFonts w:ascii="宋体" w:hAnsi="宋体" w:eastAsia="宋体" w:cs="宋体"/>
                <w:kern w:val="0"/>
                <w:sz w:val="18"/>
                <w:szCs w:val="18"/>
              </w:rPr>
            </w:pPr>
            <w:r>
              <w:rPr>
                <w:rFonts w:hint="eastAsia" w:ascii="宋体" w:hAnsi="宋体" w:eastAsia="宋体" w:cs="宋体"/>
                <w:kern w:val="0"/>
                <w:sz w:val="18"/>
                <w:szCs w:val="18"/>
              </w:rPr>
              <w:t>265</w:t>
            </w:r>
          </w:p>
        </w:tc>
        <w:tc>
          <w:tcPr>
            <w:tcW w:w="953" w:type="dxa"/>
            <w:tcBorders>
              <w:top w:val="single" w:color="000000" w:sz="4" w:space="0"/>
              <w:left w:val="single" w:color="000000" w:sz="4" w:space="0"/>
              <w:bottom w:val="single" w:color="000000" w:sz="4" w:space="0"/>
              <w:right w:val="single" w:color="000000" w:sz="4" w:space="0"/>
            </w:tcBorders>
            <w:vAlign w:val="center"/>
          </w:tcPr>
          <w:p w14:paraId="76A75C2E">
            <w:pPr>
              <w:widowControl/>
              <w:jc w:val="center"/>
              <w:rPr>
                <w:rFonts w:ascii="宋体" w:hAnsi="宋体" w:eastAsia="宋体" w:cs="宋体"/>
                <w:kern w:val="0"/>
                <w:sz w:val="18"/>
                <w:szCs w:val="18"/>
              </w:rPr>
            </w:pPr>
            <w:r>
              <w:rPr>
                <w:rFonts w:hint="eastAsia" w:ascii="宋体" w:hAnsi="宋体" w:eastAsia="宋体" w:cs="宋体"/>
                <w:kern w:val="0"/>
                <w:sz w:val="18"/>
                <w:szCs w:val="18"/>
              </w:rPr>
              <w:t>0.85</w:t>
            </w:r>
          </w:p>
        </w:tc>
        <w:tc>
          <w:tcPr>
            <w:tcW w:w="924" w:type="dxa"/>
            <w:tcBorders>
              <w:top w:val="single" w:color="000000" w:sz="4" w:space="0"/>
              <w:left w:val="single" w:color="000000" w:sz="4" w:space="0"/>
              <w:bottom w:val="single" w:color="000000" w:sz="4" w:space="0"/>
              <w:right w:val="single" w:color="000000" w:sz="4" w:space="0"/>
            </w:tcBorders>
            <w:vAlign w:val="center"/>
          </w:tcPr>
          <w:p w14:paraId="4F8C36CD">
            <w:pPr>
              <w:widowControl/>
              <w:jc w:val="center"/>
              <w:rPr>
                <w:rFonts w:ascii="宋体" w:hAnsi="宋体" w:eastAsia="宋体" w:cs="宋体"/>
                <w:kern w:val="0"/>
                <w:sz w:val="18"/>
                <w:szCs w:val="18"/>
              </w:rPr>
            </w:pPr>
            <w:r>
              <w:rPr>
                <w:rFonts w:hint="eastAsia" w:ascii="宋体" w:hAnsi="宋体" w:eastAsia="宋体" w:cs="宋体"/>
                <w:kern w:val="0"/>
                <w:sz w:val="18"/>
                <w:szCs w:val="18"/>
              </w:rPr>
              <w:t>481.55</w:t>
            </w:r>
          </w:p>
        </w:tc>
        <w:tc>
          <w:tcPr>
            <w:tcW w:w="1406" w:type="dxa"/>
            <w:tcBorders>
              <w:top w:val="single" w:color="000000" w:sz="4" w:space="0"/>
              <w:left w:val="single" w:color="000000" w:sz="4" w:space="0"/>
              <w:bottom w:val="single" w:color="000000" w:sz="4" w:space="0"/>
              <w:right w:val="single" w:color="000000" w:sz="4" w:space="0"/>
            </w:tcBorders>
            <w:vAlign w:val="center"/>
          </w:tcPr>
          <w:p w14:paraId="024C65DE">
            <w:pPr>
              <w:widowControl/>
              <w:jc w:val="center"/>
              <w:rPr>
                <w:rFonts w:ascii="宋体" w:hAnsi="宋体" w:eastAsia="宋体" w:cs="宋体"/>
                <w:kern w:val="0"/>
                <w:sz w:val="18"/>
                <w:szCs w:val="18"/>
              </w:rPr>
            </w:pPr>
            <w:r>
              <w:rPr>
                <w:rFonts w:hint="eastAsia" w:ascii="宋体" w:hAnsi="宋体" w:eastAsia="宋体" w:cs="宋体"/>
                <w:kern w:val="0"/>
                <w:sz w:val="18"/>
                <w:szCs w:val="18"/>
              </w:rPr>
              <w:t>5263575.02</w:t>
            </w:r>
          </w:p>
        </w:tc>
      </w:tr>
      <w:tr w14:paraId="1452310A">
        <w:tblPrEx>
          <w:tblCellMar>
            <w:top w:w="0" w:type="dxa"/>
            <w:left w:w="108" w:type="dxa"/>
            <w:bottom w:w="0" w:type="dxa"/>
            <w:right w:w="108" w:type="dxa"/>
          </w:tblCellMar>
        </w:tblPrEx>
        <w:trPr>
          <w:trHeight w:val="340" w:hRule="atLeast"/>
        </w:trPr>
        <w:tc>
          <w:tcPr>
            <w:tcW w:w="448" w:type="dxa"/>
            <w:tcBorders>
              <w:top w:val="single" w:color="000000" w:sz="4" w:space="0"/>
              <w:left w:val="single" w:color="000000" w:sz="4" w:space="0"/>
              <w:bottom w:val="single" w:color="000000" w:sz="4" w:space="0"/>
              <w:right w:val="single" w:color="000000" w:sz="4" w:space="0"/>
            </w:tcBorders>
            <w:vAlign w:val="center"/>
          </w:tcPr>
          <w:p w14:paraId="3204016C">
            <w:pPr>
              <w:widowControl/>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1442" w:type="dxa"/>
            <w:tcBorders>
              <w:top w:val="single" w:color="000000" w:sz="4" w:space="0"/>
              <w:left w:val="single" w:color="000000" w:sz="4" w:space="0"/>
              <w:bottom w:val="single" w:color="000000" w:sz="4" w:space="0"/>
              <w:right w:val="single" w:color="000000" w:sz="4" w:space="0"/>
            </w:tcBorders>
            <w:noWrap/>
            <w:vAlign w:val="center"/>
          </w:tcPr>
          <w:p w14:paraId="27662A57">
            <w:pPr>
              <w:widowControl/>
              <w:jc w:val="center"/>
              <w:rPr>
                <w:rFonts w:ascii="宋体" w:hAnsi="宋体" w:eastAsia="宋体" w:cs="宋体"/>
                <w:kern w:val="0"/>
                <w:sz w:val="18"/>
                <w:szCs w:val="18"/>
              </w:rPr>
            </w:pPr>
            <w:r>
              <w:rPr>
                <w:rFonts w:hint="eastAsia" w:ascii="宋体" w:hAnsi="宋体" w:eastAsia="宋体" w:cs="宋体"/>
                <w:kern w:val="0"/>
                <w:sz w:val="18"/>
                <w:szCs w:val="18"/>
              </w:rPr>
              <w:t>木吉镇</w:t>
            </w:r>
          </w:p>
        </w:tc>
        <w:tc>
          <w:tcPr>
            <w:tcW w:w="1053" w:type="dxa"/>
            <w:tcBorders>
              <w:top w:val="single" w:color="000000" w:sz="4" w:space="0"/>
              <w:left w:val="single" w:color="000000" w:sz="4" w:space="0"/>
              <w:bottom w:val="single" w:color="000000" w:sz="4" w:space="0"/>
              <w:right w:val="single" w:color="000000" w:sz="4" w:space="0"/>
            </w:tcBorders>
            <w:vAlign w:val="center"/>
          </w:tcPr>
          <w:p w14:paraId="70D9B8C7">
            <w:pPr>
              <w:widowControl/>
              <w:jc w:val="center"/>
              <w:rPr>
                <w:rFonts w:ascii="宋体" w:hAnsi="宋体" w:eastAsia="宋体" w:cs="宋体"/>
                <w:kern w:val="0"/>
                <w:sz w:val="18"/>
                <w:szCs w:val="18"/>
              </w:rPr>
            </w:pPr>
            <w:r>
              <w:rPr>
                <w:rFonts w:hint="eastAsia" w:ascii="宋体" w:hAnsi="宋体" w:eastAsia="宋体" w:cs="宋体"/>
                <w:kern w:val="0"/>
                <w:sz w:val="18"/>
                <w:szCs w:val="18"/>
              </w:rPr>
              <w:t>25958.7</w:t>
            </w:r>
          </w:p>
        </w:tc>
        <w:tc>
          <w:tcPr>
            <w:tcW w:w="975" w:type="dxa"/>
            <w:tcBorders>
              <w:top w:val="single" w:color="000000" w:sz="4" w:space="0"/>
              <w:left w:val="single" w:color="000000" w:sz="4" w:space="0"/>
              <w:bottom w:val="single" w:color="000000" w:sz="4" w:space="0"/>
              <w:right w:val="single" w:color="000000" w:sz="4" w:space="0"/>
            </w:tcBorders>
            <w:vAlign w:val="center"/>
          </w:tcPr>
          <w:p w14:paraId="2A3FBE32">
            <w:pPr>
              <w:widowControl/>
              <w:jc w:val="center"/>
              <w:rPr>
                <w:rFonts w:ascii="宋体" w:hAnsi="宋体" w:eastAsia="宋体" w:cs="宋体"/>
                <w:kern w:val="0"/>
                <w:sz w:val="18"/>
                <w:szCs w:val="18"/>
              </w:rPr>
            </w:pPr>
            <w:r>
              <w:rPr>
                <w:rFonts w:hint="eastAsia" w:ascii="宋体" w:hAnsi="宋体" w:eastAsia="宋体" w:cs="宋体"/>
                <w:kern w:val="0"/>
                <w:sz w:val="18"/>
                <w:szCs w:val="18"/>
              </w:rPr>
              <w:t>5387</w:t>
            </w:r>
          </w:p>
        </w:tc>
        <w:tc>
          <w:tcPr>
            <w:tcW w:w="923" w:type="dxa"/>
            <w:tcBorders>
              <w:top w:val="single" w:color="000000" w:sz="4" w:space="0"/>
              <w:left w:val="single" w:color="000000" w:sz="4" w:space="0"/>
              <w:bottom w:val="single" w:color="000000" w:sz="4" w:space="0"/>
              <w:right w:val="single" w:color="000000" w:sz="4" w:space="0"/>
            </w:tcBorders>
            <w:vAlign w:val="center"/>
          </w:tcPr>
          <w:p w14:paraId="2168D0AD">
            <w:pPr>
              <w:widowControl/>
              <w:jc w:val="center"/>
              <w:rPr>
                <w:rFonts w:ascii="宋体" w:hAnsi="宋体" w:eastAsia="宋体" w:cs="宋体"/>
                <w:kern w:val="0"/>
                <w:sz w:val="18"/>
                <w:szCs w:val="18"/>
              </w:rPr>
            </w:pPr>
            <w:r>
              <w:rPr>
                <w:rFonts w:hint="eastAsia" w:ascii="宋体" w:hAnsi="宋体" w:eastAsia="宋体" w:cs="宋体"/>
                <w:kern w:val="0"/>
                <w:sz w:val="18"/>
                <w:szCs w:val="18"/>
              </w:rPr>
              <w:t>396.5</w:t>
            </w:r>
          </w:p>
        </w:tc>
        <w:tc>
          <w:tcPr>
            <w:tcW w:w="833" w:type="dxa"/>
            <w:tcBorders>
              <w:top w:val="single" w:color="000000" w:sz="4" w:space="0"/>
              <w:left w:val="single" w:color="000000" w:sz="4" w:space="0"/>
              <w:bottom w:val="single" w:color="000000" w:sz="4" w:space="0"/>
              <w:right w:val="single" w:color="000000" w:sz="4" w:space="0"/>
            </w:tcBorders>
            <w:vAlign w:val="center"/>
          </w:tcPr>
          <w:p w14:paraId="779E6ACD">
            <w:pPr>
              <w:widowControl/>
              <w:jc w:val="center"/>
              <w:rPr>
                <w:rFonts w:ascii="宋体" w:hAnsi="宋体" w:eastAsia="宋体" w:cs="宋体"/>
                <w:kern w:val="0"/>
                <w:sz w:val="18"/>
                <w:szCs w:val="18"/>
              </w:rPr>
            </w:pPr>
            <w:r>
              <w:rPr>
                <w:rFonts w:hint="eastAsia" w:ascii="宋体" w:hAnsi="宋体" w:eastAsia="宋体" w:cs="宋体"/>
                <w:kern w:val="0"/>
                <w:sz w:val="18"/>
                <w:szCs w:val="18"/>
              </w:rPr>
              <w:t>265</w:t>
            </w:r>
          </w:p>
        </w:tc>
        <w:tc>
          <w:tcPr>
            <w:tcW w:w="953" w:type="dxa"/>
            <w:tcBorders>
              <w:top w:val="single" w:color="000000" w:sz="4" w:space="0"/>
              <w:left w:val="single" w:color="000000" w:sz="4" w:space="0"/>
              <w:bottom w:val="single" w:color="000000" w:sz="4" w:space="0"/>
              <w:right w:val="single" w:color="000000" w:sz="4" w:space="0"/>
            </w:tcBorders>
            <w:vAlign w:val="center"/>
          </w:tcPr>
          <w:p w14:paraId="39D47359">
            <w:pPr>
              <w:widowControl/>
              <w:jc w:val="center"/>
              <w:rPr>
                <w:rFonts w:ascii="宋体" w:hAnsi="宋体" w:eastAsia="宋体" w:cs="宋体"/>
                <w:kern w:val="0"/>
                <w:sz w:val="18"/>
                <w:szCs w:val="18"/>
              </w:rPr>
            </w:pPr>
            <w:r>
              <w:rPr>
                <w:rFonts w:hint="eastAsia" w:ascii="宋体" w:hAnsi="宋体" w:eastAsia="宋体" w:cs="宋体"/>
                <w:kern w:val="0"/>
                <w:sz w:val="18"/>
                <w:szCs w:val="18"/>
              </w:rPr>
              <w:t>0.85</w:t>
            </w:r>
          </w:p>
        </w:tc>
        <w:tc>
          <w:tcPr>
            <w:tcW w:w="924" w:type="dxa"/>
            <w:tcBorders>
              <w:top w:val="single" w:color="000000" w:sz="4" w:space="0"/>
              <w:left w:val="single" w:color="000000" w:sz="4" w:space="0"/>
              <w:bottom w:val="single" w:color="000000" w:sz="4" w:space="0"/>
              <w:right w:val="single" w:color="000000" w:sz="4" w:space="0"/>
            </w:tcBorders>
            <w:vAlign w:val="center"/>
          </w:tcPr>
          <w:p w14:paraId="68228EFE">
            <w:pPr>
              <w:widowControl/>
              <w:jc w:val="center"/>
              <w:rPr>
                <w:rFonts w:ascii="宋体" w:hAnsi="宋体" w:eastAsia="宋体" w:cs="宋体"/>
                <w:kern w:val="0"/>
                <w:sz w:val="18"/>
                <w:szCs w:val="18"/>
              </w:rPr>
            </w:pPr>
            <w:r>
              <w:rPr>
                <w:rFonts w:hint="eastAsia" w:ascii="宋体" w:hAnsi="宋体" w:eastAsia="宋体" w:cs="宋体"/>
                <w:kern w:val="0"/>
                <w:sz w:val="18"/>
                <w:szCs w:val="18"/>
              </w:rPr>
              <w:t>481.12</w:t>
            </w:r>
          </w:p>
        </w:tc>
        <w:tc>
          <w:tcPr>
            <w:tcW w:w="1406" w:type="dxa"/>
            <w:tcBorders>
              <w:top w:val="single" w:color="000000" w:sz="4" w:space="0"/>
              <w:left w:val="single" w:color="000000" w:sz="4" w:space="0"/>
              <w:bottom w:val="single" w:color="000000" w:sz="4" w:space="0"/>
              <w:right w:val="single" w:color="000000" w:sz="4" w:space="0"/>
            </w:tcBorders>
            <w:vAlign w:val="center"/>
          </w:tcPr>
          <w:p w14:paraId="55AAF095">
            <w:pPr>
              <w:widowControl/>
              <w:jc w:val="center"/>
              <w:rPr>
                <w:rFonts w:ascii="宋体" w:hAnsi="宋体" w:eastAsia="宋体" w:cs="宋体"/>
                <w:kern w:val="0"/>
                <w:sz w:val="18"/>
                <w:szCs w:val="18"/>
              </w:rPr>
            </w:pPr>
            <w:r>
              <w:rPr>
                <w:rFonts w:hint="eastAsia" w:ascii="宋体" w:hAnsi="宋体" w:eastAsia="宋体" w:cs="宋体"/>
                <w:kern w:val="0"/>
                <w:sz w:val="18"/>
                <w:szCs w:val="18"/>
              </w:rPr>
              <w:t>12489294.49</w:t>
            </w:r>
          </w:p>
        </w:tc>
      </w:tr>
      <w:tr w14:paraId="6EC1F99E">
        <w:tblPrEx>
          <w:tblCellMar>
            <w:top w:w="0" w:type="dxa"/>
            <w:left w:w="108" w:type="dxa"/>
            <w:bottom w:w="0" w:type="dxa"/>
            <w:right w:w="108" w:type="dxa"/>
          </w:tblCellMar>
        </w:tblPrEx>
        <w:trPr>
          <w:trHeight w:val="340" w:hRule="atLeast"/>
        </w:trPr>
        <w:tc>
          <w:tcPr>
            <w:tcW w:w="448" w:type="dxa"/>
            <w:tcBorders>
              <w:top w:val="single" w:color="000000" w:sz="4" w:space="0"/>
              <w:left w:val="single" w:color="000000" w:sz="4" w:space="0"/>
              <w:bottom w:val="single" w:color="000000" w:sz="4" w:space="0"/>
              <w:right w:val="single" w:color="000000" w:sz="4" w:space="0"/>
            </w:tcBorders>
            <w:vAlign w:val="center"/>
          </w:tcPr>
          <w:p w14:paraId="04995F29">
            <w:pPr>
              <w:widowControl/>
              <w:jc w:val="center"/>
              <w:rPr>
                <w:rFonts w:ascii="宋体" w:hAnsi="宋体" w:eastAsia="宋体" w:cs="宋体"/>
                <w:kern w:val="0"/>
                <w:sz w:val="18"/>
                <w:szCs w:val="18"/>
              </w:rPr>
            </w:pPr>
            <w:r>
              <w:rPr>
                <w:rFonts w:hint="eastAsia" w:ascii="宋体" w:hAnsi="宋体" w:eastAsia="宋体" w:cs="宋体"/>
                <w:kern w:val="0"/>
                <w:sz w:val="18"/>
                <w:szCs w:val="18"/>
              </w:rPr>
              <w:t>6</w:t>
            </w:r>
          </w:p>
        </w:tc>
        <w:tc>
          <w:tcPr>
            <w:tcW w:w="1442" w:type="dxa"/>
            <w:tcBorders>
              <w:top w:val="single" w:color="000000" w:sz="4" w:space="0"/>
              <w:left w:val="single" w:color="000000" w:sz="4" w:space="0"/>
              <w:bottom w:val="single" w:color="000000" w:sz="4" w:space="0"/>
              <w:right w:val="single" w:color="000000" w:sz="4" w:space="0"/>
            </w:tcBorders>
            <w:noWrap/>
            <w:vAlign w:val="center"/>
          </w:tcPr>
          <w:p w14:paraId="78461F51">
            <w:pPr>
              <w:widowControl/>
              <w:jc w:val="center"/>
              <w:rPr>
                <w:rFonts w:ascii="宋体" w:hAnsi="宋体" w:eastAsia="宋体" w:cs="宋体"/>
                <w:kern w:val="0"/>
                <w:sz w:val="18"/>
                <w:szCs w:val="18"/>
              </w:rPr>
            </w:pPr>
            <w:r>
              <w:rPr>
                <w:rFonts w:hint="eastAsia" w:ascii="宋体" w:hAnsi="宋体" w:eastAsia="宋体" w:cs="宋体"/>
                <w:kern w:val="0"/>
                <w:sz w:val="18"/>
                <w:szCs w:val="18"/>
              </w:rPr>
              <w:t>藏桂乡</w:t>
            </w:r>
          </w:p>
        </w:tc>
        <w:tc>
          <w:tcPr>
            <w:tcW w:w="1053" w:type="dxa"/>
            <w:tcBorders>
              <w:top w:val="single" w:color="000000" w:sz="4" w:space="0"/>
              <w:left w:val="single" w:color="000000" w:sz="4" w:space="0"/>
              <w:bottom w:val="single" w:color="000000" w:sz="4" w:space="0"/>
              <w:right w:val="single" w:color="000000" w:sz="4" w:space="0"/>
            </w:tcBorders>
            <w:vAlign w:val="center"/>
          </w:tcPr>
          <w:p w14:paraId="5007CA4F">
            <w:pPr>
              <w:widowControl/>
              <w:jc w:val="center"/>
              <w:rPr>
                <w:rFonts w:ascii="宋体" w:hAnsi="宋体" w:eastAsia="宋体" w:cs="宋体"/>
                <w:kern w:val="0"/>
                <w:sz w:val="18"/>
                <w:szCs w:val="18"/>
              </w:rPr>
            </w:pPr>
            <w:r>
              <w:rPr>
                <w:rFonts w:hint="eastAsia" w:ascii="宋体" w:hAnsi="宋体" w:eastAsia="宋体" w:cs="宋体"/>
                <w:kern w:val="0"/>
                <w:sz w:val="18"/>
                <w:szCs w:val="18"/>
              </w:rPr>
              <w:t>8834.72</w:t>
            </w:r>
          </w:p>
        </w:tc>
        <w:tc>
          <w:tcPr>
            <w:tcW w:w="975" w:type="dxa"/>
            <w:tcBorders>
              <w:top w:val="single" w:color="000000" w:sz="4" w:space="0"/>
              <w:left w:val="single" w:color="000000" w:sz="4" w:space="0"/>
              <w:bottom w:val="single" w:color="000000" w:sz="4" w:space="0"/>
              <w:right w:val="single" w:color="000000" w:sz="4" w:space="0"/>
            </w:tcBorders>
            <w:vAlign w:val="center"/>
          </w:tcPr>
          <w:p w14:paraId="0610B2D3">
            <w:pPr>
              <w:widowControl/>
              <w:jc w:val="center"/>
              <w:rPr>
                <w:rFonts w:ascii="宋体" w:hAnsi="宋体" w:eastAsia="宋体" w:cs="宋体"/>
                <w:kern w:val="0"/>
                <w:sz w:val="18"/>
                <w:szCs w:val="18"/>
              </w:rPr>
            </w:pPr>
            <w:r>
              <w:rPr>
                <w:rFonts w:hint="eastAsia" w:ascii="宋体" w:hAnsi="宋体" w:eastAsia="宋体" w:cs="宋体"/>
                <w:kern w:val="0"/>
                <w:sz w:val="18"/>
                <w:szCs w:val="18"/>
              </w:rPr>
              <w:t>5413</w:t>
            </w:r>
          </w:p>
        </w:tc>
        <w:tc>
          <w:tcPr>
            <w:tcW w:w="923" w:type="dxa"/>
            <w:tcBorders>
              <w:top w:val="single" w:color="000000" w:sz="4" w:space="0"/>
              <w:left w:val="single" w:color="000000" w:sz="4" w:space="0"/>
              <w:bottom w:val="single" w:color="000000" w:sz="4" w:space="0"/>
              <w:right w:val="single" w:color="000000" w:sz="4" w:space="0"/>
            </w:tcBorders>
            <w:vAlign w:val="center"/>
          </w:tcPr>
          <w:p w14:paraId="58337CEE">
            <w:pPr>
              <w:widowControl/>
              <w:jc w:val="center"/>
              <w:rPr>
                <w:rFonts w:ascii="宋体" w:hAnsi="宋体" w:eastAsia="宋体" w:cs="宋体"/>
                <w:kern w:val="0"/>
                <w:sz w:val="18"/>
                <w:szCs w:val="18"/>
              </w:rPr>
            </w:pPr>
            <w:r>
              <w:rPr>
                <w:rFonts w:hint="eastAsia" w:ascii="宋体" w:hAnsi="宋体" w:eastAsia="宋体" w:cs="宋体"/>
                <w:kern w:val="0"/>
                <w:sz w:val="18"/>
                <w:szCs w:val="18"/>
              </w:rPr>
              <w:t>385.3</w:t>
            </w:r>
          </w:p>
        </w:tc>
        <w:tc>
          <w:tcPr>
            <w:tcW w:w="833" w:type="dxa"/>
            <w:tcBorders>
              <w:top w:val="single" w:color="000000" w:sz="4" w:space="0"/>
              <w:left w:val="single" w:color="000000" w:sz="4" w:space="0"/>
              <w:bottom w:val="single" w:color="000000" w:sz="4" w:space="0"/>
              <w:right w:val="single" w:color="000000" w:sz="4" w:space="0"/>
            </w:tcBorders>
            <w:vAlign w:val="center"/>
          </w:tcPr>
          <w:p w14:paraId="52062831">
            <w:pPr>
              <w:widowControl/>
              <w:jc w:val="center"/>
              <w:rPr>
                <w:rFonts w:ascii="宋体" w:hAnsi="宋体" w:eastAsia="宋体" w:cs="宋体"/>
                <w:kern w:val="0"/>
                <w:sz w:val="18"/>
                <w:szCs w:val="18"/>
              </w:rPr>
            </w:pPr>
            <w:r>
              <w:rPr>
                <w:rFonts w:hint="eastAsia" w:ascii="宋体" w:hAnsi="宋体" w:eastAsia="宋体" w:cs="宋体"/>
                <w:kern w:val="0"/>
                <w:sz w:val="18"/>
                <w:szCs w:val="18"/>
              </w:rPr>
              <w:t>265</w:t>
            </w:r>
          </w:p>
        </w:tc>
        <w:tc>
          <w:tcPr>
            <w:tcW w:w="953" w:type="dxa"/>
            <w:tcBorders>
              <w:top w:val="single" w:color="000000" w:sz="4" w:space="0"/>
              <w:left w:val="single" w:color="000000" w:sz="4" w:space="0"/>
              <w:bottom w:val="single" w:color="000000" w:sz="4" w:space="0"/>
              <w:right w:val="single" w:color="000000" w:sz="4" w:space="0"/>
            </w:tcBorders>
            <w:vAlign w:val="center"/>
          </w:tcPr>
          <w:p w14:paraId="431CA1E0">
            <w:pPr>
              <w:widowControl/>
              <w:jc w:val="center"/>
              <w:rPr>
                <w:rFonts w:ascii="宋体" w:hAnsi="宋体" w:eastAsia="宋体" w:cs="宋体"/>
                <w:kern w:val="0"/>
                <w:sz w:val="18"/>
                <w:szCs w:val="18"/>
              </w:rPr>
            </w:pPr>
            <w:r>
              <w:rPr>
                <w:rFonts w:hint="eastAsia" w:ascii="宋体" w:hAnsi="宋体" w:eastAsia="宋体" w:cs="宋体"/>
                <w:kern w:val="0"/>
                <w:sz w:val="18"/>
                <w:szCs w:val="18"/>
              </w:rPr>
              <w:t>0.85</w:t>
            </w:r>
          </w:p>
        </w:tc>
        <w:tc>
          <w:tcPr>
            <w:tcW w:w="924" w:type="dxa"/>
            <w:tcBorders>
              <w:top w:val="single" w:color="000000" w:sz="4" w:space="0"/>
              <w:left w:val="single" w:color="000000" w:sz="4" w:space="0"/>
              <w:bottom w:val="single" w:color="000000" w:sz="4" w:space="0"/>
              <w:right w:val="single" w:color="000000" w:sz="4" w:space="0"/>
            </w:tcBorders>
            <w:vAlign w:val="center"/>
          </w:tcPr>
          <w:p w14:paraId="620636F4">
            <w:pPr>
              <w:widowControl/>
              <w:jc w:val="center"/>
              <w:rPr>
                <w:rFonts w:ascii="宋体" w:hAnsi="宋体" w:eastAsia="宋体" w:cs="宋体"/>
                <w:kern w:val="0"/>
                <w:sz w:val="18"/>
                <w:szCs w:val="18"/>
              </w:rPr>
            </w:pPr>
            <w:r>
              <w:rPr>
                <w:rFonts w:hint="eastAsia" w:ascii="宋体" w:hAnsi="宋体" w:eastAsia="宋体" w:cs="宋体"/>
                <w:kern w:val="0"/>
                <w:sz w:val="18"/>
                <w:szCs w:val="18"/>
              </w:rPr>
              <w:t>469.79</w:t>
            </w:r>
          </w:p>
        </w:tc>
        <w:tc>
          <w:tcPr>
            <w:tcW w:w="1406" w:type="dxa"/>
            <w:tcBorders>
              <w:top w:val="single" w:color="000000" w:sz="4" w:space="0"/>
              <w:left w:val="single" w:color="000000" w:sz="4" w:space="0"/>
              <w:bottom w:val="single" w:color="000000" w:sz="4" w:space="0"/>
              <w:right w:val="single" w:color="000000" w:sz="4" w:space="0"/>
            </w:tcBorders>
            <w:vAlign w:val="center"/>
          </w:tcPr>
          <w:p w14:paraId="16633CDB">
            <w:pPr>
              <w:widowControl/>
              <w:jc w:val="center"/>
              <w:rPr>
                <w:rFonts w:ascii="宋体" w:hAnsi="宋体" w:eastAsia="宋体" w:cs="宋体"/>
                <w:kern w:val="0"/>
                <w:sz w:val="18"/>
                <w:szCs w:val="18"/>
              </w:rPr>
            </w:pPr>
            <w:r>
              <w:rPr>
                <w:rFonts w:hint="eastAsia" w:ascii="宋体" w:hAnsi="宋体" w:eastAsia="宋体" w:cs="宋体"/>
                <w:kern w:val="0"/>
                <w:sz w:val="18"/>
                <w:szCs w:val="18"/>
              </w:rPr>
              <w:t>4150444.64</w:t>
            </w:r>
          </w:p>
        </w:tc>
      </w:tr>
      <w:tr w14:paraId="21CEC4E7">
        <w:tblPrEx>
          <w:tblCellMar>
            <w:top w:w="0" w:type="dxa"/>
            <w:left w:w="108" w:type="dxa"/>
            <w:bottom w:w="0" w:type="dxa"/>
            <w:right w:w="108" w:type="dxa"/>
          </w:tblCellMar>
        </w:tblPrEx>
        <w:trPr>
          <w:trHeight w:val="340" w:hRule="atLeast"/>
        </w:trPr>
        <w:tc>
          <w:tcPr>
            <w:tcW w:w="448" w:type="dxa"/>
            <w:tcBorders>
              <w:top w:val="single" w:color="000000" w:sz="4" w:space="0"/>
              <w:left w:val="single" w:color="000000" w:sz="4" w:space="0"/>
              <w:bottom w:val="single" w:color="000000" w:sz="4" w:space="0"/>
              <w:right w:val="single" w:color="000000" w:sz="4" w:space="0"/>
            </w:tcBorders>
            <w:vAlign w:val="center"/>
          </w:tcPr>
          <w:p w14:paraId="4D106588">
            <w:pPr>
              <w:widowControl/>
              <w:jc w:val="center"/>
              <w:rPr>
                <w:rFonts w:ascii="宋体" w:hAnsi="宋体" w:eastAsia="宋体" w:cs="宋体"/>
                <w:kern w:val="0"/>
                <w:sz w:val="18"/>
                <w:szCs w:val="18"/>
              </w:rPr>
            </w:pPr>
            <w:r>
              <w:rPr>
                <w:rFonts w:hint="eastAsia" w:ascii="宋体" w:hAnsi="宋体" w:eastAsia="宋体" w:cs="宋体"/>
                <w:kern w:val="0"/>
                <w:sz w:val="18"/>
                <w:szCs w:val="18"/>
              </w:rPr>
              <w:t>7</w:t>
            </w:r>
          </w:p>
        </w:tc>
        <w:tc>
          <w:tcPr>
            <w:tcW w:w="1442" w:type="dxa"/>
            <w:tcBorders>
              <w:top w:val="single" w:color="000000" w:sz="4" w:space="0"/>
              <w:left w:val="single" w:color="000000" w:sz="4" w:space="0"/>
              <w:bottom w:val="single" w:color="000000" w:sz="4" w:space="0"/>
              <w:right w:val="single" w:color="000000" w:sz="4" w:space="0"/>
            </w:tcBorders>
            <w:noWrap/>
            <w:vAlign w:val="center"/>
          </w:tcPr>
          <w:p w14:paraId="541DE559">
            <w:pPr>
              <w:widowControl/>
              <w:jc w:val="center"/>
              <w:rPr>
                <w:rFonts w:ascii="宋体" w:hAnsi="宋体" w:eastAsia="宋体" w:cs="宋体"/>
                <w:kern w:val="0"/>
                <w:sz w:val="18"/>
                <w:szCs w:val="18"/>
              </w:rPr>
            </w:pPr>
            <w:r>
              <w:rPr>
                <w:rFonts w:hint="eastAsia" w:ascii="宋体" w:hAnsi="宋体" w:eastAsia="宋体" w:cs="宋体"/>
                <w:kern w:val="0"/>
                <w:sz w:val="18"/>
                <w:szCs w:val="18"/>
              </w:rPr>
              <w:t>皮亚勒玛乡</w:t>
            </w:r>
          </w:p>
        </w:tc>
        <w:tc>
          <w:tcPr>
            <w:tcW w:w="1053" w:type="dxa"/>
            <w:tcBorders>
              <w:top w:val="single" w:color="000000" w:sz="4" w:space="0"/>
              <w:left w:val="single" w:color="000000" w:sz="4" w:space="0"/>
              <w:bottom w:val="single" w:color="000000" w:sz="4" w:space="0"/>
              <w:right w:val="single" w:color="000000" w:sz="4" w:space="0"/>
            </w:tcBorders>
            <w:vAlign w:val="center"/>
          </w:tcPr>
          <w:p w14:paraId="5AE3933F">
            <w:pPr>
              <w:widowControl/>
              <w:jc w:val="center"/>
              <w:rPr>
                <w:rFonts w:ascii="宋体" w:hAnsi="宋体" w:eastAsia="宋体" w:cs="宋体"/>
                <w:kern w:val="0"/>
                <w:sz w:val="18"/>
                <w:szCs w:val="18"/>
              </w:rPr>
            </w:pPr>
            <w:r>
              <w:rPr>
                <w:rFonts w:hint="eastAsia" w:ascii="宋体" w:hAnsi="宋体" w:eastAsia="宋体" w:cs="宋体"/>
                <w:kern w:val="0"/>
                <w:sz w:val="18"/>
                <w:szCs w:val="18"/>
              </w:rPr>
              <w:t>6128.02</w:t>
            </w:r>
          </w:p>
        </w:tc>
        <w:tc>
          <w:tcPr>
            <w:tcW w:w="975" w:type="dxa"/>
            <w:tcBorders>
              <w:top w:val="single" w:color="000000" w:sz="4" w:space="0"/>
              <w:left w:val="single" w:color="000000" w:sz="4" w:space="0"/>
              <w:bottom w:val="single" w:color="000000" w:sz="4" w:space="0"/>
              <w:right w:val="single" w:color="000000" w:sz="4" w:space="0"/>
            </w:tcBorders>
            <w:vAlign w:val="center"/>
          </w:tcPr>
          <w:p w14:paraId="7D818291">
            <w:pPr>
              <w:widowControl/>
              <w:jc w:val="center"/>
              <w:rPr>
                <w:rFonts w:ascii="宋体" w:hAnsi="宋体" w:eastAsia="宋体" w:cs="宋体"/>
                <w:kern w:val="0"/>
                <w:sz w:val="18"/>
                <w:szCs w:val="18"/>
              </w:rPr>
            </w:pPr>
            <w:r>
              <w:rPr>
                <w:rFonts w:hint="eastAsia" w:ascii="宋体" w:hAnsi="宋体" w:eastAsia="宋体" w:cs="宋体"/>
                <w:kern w:val="0"/>
                <w:sz w:val="18"/>
                <w:szCs w:val="18"/>
              </w:rPr>
              <w:t>5687</w:t>
            </w:r>
          </w:p>
        </w:tc>
        <w:tc>
          <w:tcPr>
            <w:tcW w:w="923" w:type="dxa"/>
            <w:tcBorders>
              <w:top w:val="single" w:color="000000" w:sz="4" w:space="0"/>
              <w:left w:val="single" w:color="000000" w:sz="4" w:space="0"/>
              <w:bottom w:val="single" w:color="000000" w:sz="4" w:space="0"/>
              <w:right w:val="single" w:color="000000" w:sz="4" w:space="0"/>
            </w:tcBorders>
            <w:vAlign w:val="center"/>
          </w:tcPr>
          <w:p w14:paraId="16237E27">
            <w:pPr>
              <w:widowControl/>
              <w:jc w:val="center"/>
              <w:rPr>
                <w:rFonts w:ascii="宋体" w:hAnsi="宋体" w:eastAsia="宋体" w:cs="宋体"/>
                <w:kern w:val="0"/>
                <w:sz w:val="18"/>
                <w:szCs w:val="18"/>
              </w:rPr>
            </w:pPr>
            <w:r>
              <w:rPr>
                <w:rFonts w:hint="eastAsia" w:ascii="宋体" w:hAnsi="宋体" w:eastAsia="宋体" w:cs="宋体"/>
                <w:kern w:val="0"/>
                <w:sz w:val="18"/>
                <w:szCs w:val="18"/>
              </w:rPr>
              <w:t>372.7</w:t>
            </w:r>
          </w:p>
        </w:tc>
        <w:tc>
          <w:tcPr>
            <w:tcW w:w="833" w:type="dxa"/>
            <w:tcBorders>
              <w:top w:val="single" w:color="000000" w:sz="4" w:space="0"/>
              <w:left w:val="single" w:color="000000" w:sz="4" w:space="0"/>
              <w:bottom w:val="single" w:color="000000" w:sz="4" w:space="0"/>
              <w:right w:val="single" w:color="000000" w:sz="4" w:space="0"/>
            </w:tcBorders>
            <w:vAlign w:val="center"/>
          </w:tcPr>
          <w:p w14:paraId="08C17D3D">
            <w:pPr>
              <w:widowControl/>
              <w:jc w:val="center"/>
              <w:rPr>
                <w:rFonts w:ascii="宋体" w:hAnsi="宋体" w:eastAsia="宋体" w:cs="宋体"/>
                <w:kern w:val="0"/>
                <w:sz w:val="18"/>
                <w:szCs w:val="18"/>
              </w:rPr>
            </w:pPr>
            <w:r>
              <w:rPr>
                <w:rFonts w:hint="eastAsia" w:ascii="宋体" w:hAnsi="宋体" w:eastAsia="宋体" w:cs="宋体"/>
                <w:kern w:val="0"/>
                <w:sz w:val="18"/>
                <w:szCs w:val="18"/>
              </w:rPr>
              <w:t>265</w:t>
            </w:r>
          </w:p>
        </w:tc>
        <w:tc>
          <w:tcPr>
            <w:tcW w:w="953" w:type="dxa"/>
            <w:tcBorders>
              <w:top w:val="single" w:color="000000" w:sz="4" w:space="0"/>
              <w:left w:val="single" w:color="000000" w:sz="4" w:space="0"/>
              <w:bottom w:val="single" w:color="000000" w:sz="4" w:space="0"/>
              <w:right w:val="single" w:color="000000" w:sz="4" w:space="0"/>
            </w:tcBorders>
            <w:vAlign w:val="center"/>
          </w:tcPr>
          <w:p w14:paraId="738FE39D">
            <w:pPr>
              <w:widowControl/>
              <w:jc w:val="center"/>
              <w:rPr>
                <w:rFonts w:ascii="宋体" w:hAnsi="宋体" w:eastAsia="宋体" w:cs="宋体"/>
                <w:kern w:val="0"/>
                <w:sz w:val="18"/>
                <w:szCs w:val="18"/>
              </w:rPr>
            </w:pPr>
            <w:r>
              <w:rPr>
                <w:rFonts w:hint="eastAsia" w:ascii="宋体" w:hAnsi="宋体" w:eastAsia="宋体" w:cs="宋体"/>
                <w:kern w:val="0"/>
                <w:sz w:val="18"/>
                <w:szCs w:val="18"/>
              </w:rPr>
              <w:t>0.85</w:t>
            </w:r>
          </w:p>
        </w:tc>
        <w:tc>
          <w:tcPr>
            <w:tcW w:w="924" w:type="dxa"/>
            <w:tcBorders>
              <w:top w:val="single" w:color="000000" w:sz="4" w:space="0"/>
              <w:left w:val="single" w:color="000000" w:sz="4" w:space="0"/>
              <w:bottom w:val="single" w:color="000000" w:sz="4" w:space="0"/>
              <w:right w:val="single" w:color="000000" w:sz="4" w:space="0"/>
            </w:tcBorders>
            <w:vAlign w:val="center"/>
          </w:tcPr>
          <w:p w14:paraId="2B4F473B">
            <w:pPr>
              <w:widowControl/>
              <w:jc w:val="center"/>
              <w:rPr>
                <w:rFonts w:ascii="宋体" w:hAnsi="宋体" w:eastAsia="宋体" w:cs="宋体"/>
                <w:kern w:val="0"/>
                <w:sz w:val="18"/>
                <w:szCs w:val="18"/>
              </w:rPr>
            </w:pPr>
            <w:r>
              <w:rPr>
                <w:rFonts w:hint="eastAsia" w:ascii="宋体" w:hAnsi="宋体" w:eastAsia="宋体" w:cs="宋体"/>
                <w:kern w:val="0"/>
                <w:sz w:val="18"/>
                <w:szCs w:val="18"/>
              </w:rPr>
              <w:t>477.43</w:t>
            </w:r>
          </w:p>
        </w:tc>
        <w:tc>
          <w:tcPr>
            <w:tcW w:w="1406" w:type="dxa"/>
            <w:tcBorders>
              <w:top w:val="single" w:color="000000" w:sz="4" w:space="0"/>
              <w:left w:val="single" w:color="000000" w:sz="4" w:space="0"/>
              <w:bottom w:val="single" w:color="000000" w:sz="4" w:space="0"/>
              <w:right w:val="single" w:color="000000" w:sz="4" w:space="0"/>
            </w:tcBorders>
            <w:vAlign w:val="center"/>
          </w:tcPr>
          <w:p w14:paraId="2C95A3E0">
            <w:pPr>
              <w:widowControl/>
              <w:jc w:val="center"/>
              <w:rPr>
                <w:rFonts w:ascii="宋体" w:hAnsi="宋体" w:eastAsia="宋体" w:cs="宋体"/>
                <w:kern w:val="0"/>
                <w:sz w:val="18"/>
                <w:szCs w:val="18"/>
              </w:rPr>
            </w:pPr>
            <w:r>
              <w:rPr>
                <w:rFonts w:hint="eastAsia" w:ascii="宋体" w:hAnsi="宋体" w:eastAsia="宋体" w:cs="宋体"/>
                <w:kern w:val="0"/>
                <w:sz w:val="18"/>
                <w:szCs w:val="18"/>
              </w:rPr>
              <w:t>2925685.20</w:t>
            </w:r>
          </w:p>
        </w:tc>
      </w:tr>
      <w:tr w14:paraId="40BBF147">
        <w:tblPrEx>
          <w:tblCellMar>
            <w:top w:w="0" w:type="dxa"/>
            <w:left w:w="108" w:type="dxa"/>
            <w:bottom w:w="0" w:type="dxa"/>
            <w:right w:w="108" w:type="dxa"/>
          </w:tblCellMar>
        </w:tblPrEx>
        <w:trPr>
          <w:trHeight w:val="340" w:hRule="atLeast"/>
        </w:trPr>
        <w:tc>
          <w:tcPr>
            <w:tcW w:w="448" w:type="dxa"/>
            <w:tcBorders>
              <w:top w:val="single" w:color="000000" w:sz="4" w:space="0"/>
              <w:left w:val="single" w:color="000000" w:sz="4" w:space="0"/>
              <w:bottom w:val="single" w:color="000000" w:sz="4" w:space="0"/>
              <w:right w:val="single" w:color="000000" w:sz="4" w:space="0"/>
            </w:tcBorders>
            <w:vAlign w:val="center"/>
          </w:tcPr>
          <w:p w14:paraId="6266B003">
            <w:pPr>
              <w:widowControl/>
              <w:jc w:val="center"/>
              <w:rPr>
                <w:rFonts w:ascii="宋体" w:hAnsi="宋体" w:eastAsia="宋体" w:cs="宋体"/>
                <w:kern w:val="0"/>
                <w:sz w:val="18"/>
                <w:szCs w:val="18"/>
              </w:rPr>
            </w:pPr>
            <w:r>
              <w:rPr>
                <w:rFonts w:hint="eastAsia" w:ascii="宋体" w:hAnsi="宋体" w:eastAsia="宋体" w:cs="宋体"/>
                <w:kern w:val="0"/>
                <w:sz w:val="18"/>
                <w:szCs w:val="18"/>
              </w:rPr>
              <w:t>8</w:t>
            </w:r>
          </w:p>
        </w:tc>
        <w:tc>
          <w:tcPr>
            <w:tcW w:w="1442" w:type="dxa"/>
            <w:tcBorders>
              <w:top w:val="single" w:color="000000" w:sz="4" w:space="0"/>
              <w:left w:val="single" w:color="000000" w:sz="4" w:space="0"/>
              <w:bottom w:val="single" w:color="000000" w:sz="4" w:space="0"/>
              <w:right w:val="single" w:color="000000" w:sz="4" w:space="0"/>
            </w:tcBorders>
            <w:noWrap/>
            <w:vAlign w:val="center"/>
          </w:tcPr>
          <w:p w14:paraId="7E17DD48">
            <w:pPr>
              <w:widowControl/>
              <w:jc w:val="center"/>
              <w:rPr>
                <w:rFonts w:ascii="宋体" w:hAnsi="宋体" w:eastAsia="宋体" w:cs="宋体"/>
                <w:kern w:val="0"/>
                <w:sz w:val="18"/>
                <w:szCs w:val="18"/>
              </w:rPr>
            </w:pPr>
            <w:r>
              <w:rPr>
                <w:rFonts w:hint="eastAsia" w:ascii="宋体" w:hAnsi="宋体" w:eastAsia="宋体" w:cs="宋体"/>
                <w:kern w:val="0"/>
                <w:sz w:val="18"/>
                <w:szCs w:val="18"/>
              </w:rPr>
              <w:t>皮西那乡</w:t>
            </w:r>
          </w:p>
        </w:tc>
        <w:tc>
          <w:tcPr>
            <w:tcW w:w="1053" w:type="dxa"/>
            <w:tcBorders>
              <w:top w:val="single" w:color="000000" w:sz="4" w:space="0"/>
              <w:left w:val="single" w:color="000000" w:sz="4" w:space="0"/>
              <w:bottom w:val="single" w:color="000000" w:sz="4" w:space="0"/>
              <w:right w:val="single" w:color="000000" w:sz="4" w:space="0"/>
            </w:tcBorders>
            <w:vAlign w:val="center"/>
          </w:tcPr>
          <w:p w14:paraId="7C4C2DA6">
            <w:pPr>
              <w:widowControl/>
              <w:jc w:val="center"/>
              <w:rPr>
                <w:rFonts w:ascii="宋体" w:hAnsi="宋体" w:eastAsia="宋体" w:cs="宋体"/>
                <w:kern w:val="0"/>
                <w:sz w:val="18"/>
                <w:szCs w:val="18"/>
              </w:rPr>
            </w:pPr>
            <w:r>
              <w:rPr>
                <w:rFonts w:hint="eastAsia" w:ascii="宋体" w:hAnsi="宋体" w:eastAsia="宋体" w:cs="宋体"/>
                <w:kern w:val="0"/>
                <w:sz w:val="18"/>
                <w:szCs w:val="18"/>
              </w:rPr>
              <w:t>2814.9</w:t>
            </w:r>
          </w:p>
        </w:tc>
        <w:tc>
          <w:tcPr>
            <w:tcW w:w="975" w:type="dxa"/>
            <w:tcBorders>
              <w:top w:val="single" w:color="000000" w:sz="4" w:space="0"/>
              <w:left w:val="single" w:color="000000" w:sz="4" w:space="0"/>
              <w:bottom w:val="single" w:color="000000" w:sz="4" w:space="0"/>
              <w:right w:val="single" w:color="000000" w:sz="4" w:space="0"/>
            </w:tcBorders>
            <w:vAlign w:val="center"/>
          </w:tcPr>
          <w:p w14:paraId="2B9B48D9">
            <w:pPr>
              <w:widowControl/>
              <w:jc w:val="center"/>
              <w:rPr>
                <w:rFonts w:ascii="宋体" w:hAnsi="宋体" w:eastAsia="宋体" w:cs="宋体"/>
                <w:kern w:val="0"/>
                <w:sz w:val="18"/>
                <w:szCs w:val="18"/>
              </w:rPr>
            </w:pPr>
            <w:r>
              <w:rPr>
                <w:rFonts w:hint="eastAsia" w:ascii="宋体" w:hAnsi="宋体" w:eastAsia="宋体" w:cs="宋体"/>
                <w:kern w:val="0"/>
                <w:sz w:val="18"/>
                <w:szCs w:val="18"/>
              </w:rPr>
              <w:t>5395</w:t>
            </w:r>
          </w:p>
        </w:tc>
        <w:tc>
          <w:tcPr>
            <w:tcW w:w="923" w:type="dxa"/>
            <w:tcBorders>
              <w:top w:val="single" w:color="000000" w:sz="4" w:space="0"/>
              <w:left w:val="single" w:color="000000" w:sz="4" w:space="0"/>
              <w:bottom w:val="single" w:color="000000" w:sz="4" w:space="0"/>
              <w:right w:val="single" w:color="000000" w:sz="4" w:space="0"/>
            </w:tcBorders>
            <w:vAlign w:val="center"/>
          </w:tcPr>
          <w:p w14:paraId="22F3CEB1">
            <w:pPr>
              <w:widowControl/>
              <w:jc w:val="center"/>
              <w:rPr>
                <w:rFonts w:ascii="宋体" w:hAnsi="宋体" w:eastAsia="宋体" w:cs="宋体"/>
                <w:kern w:val="0"/>
                <w:sz w:val="18"/>
                <w:szCs w:val="18"/>
              </w:rPr>
            </w:pPr>
            <w:r>
              <w:rPr>
                <w:rFonts w:hint="eastAsia" w:ascii="宋体" w:hAnsi="宋体" w:eastAsia="宋体" w:cs="宋体"/>
                <w:kern w:val="0"/>
                <w:sz w:val="18"/>
                <w:szCs w:val="18"/>
              </w:rPr>
              <w:t>362.6</w:t>
            </w:r>
          </w:p>
        </w:tc>
        <w:tc>
          <w:tcPr>
            <w:tcW w:w="833" w:type="dxa"/>
            <w:tcBorders>
              <w:top w:val="single" w:color="000000" w:sz="4" w:space="0"/>
              <w:left w:val="single" w:color="000000" w:sz="4" w:space="0"/>
              <w:bottom w:val="single" w:color="000000" w:sz="4" w:space="0"/>
              <w:right w:val="single" w:color="000000" w:sz="4" w:space="0"/>
            </w:tcBorders>
            <w:vAlign w:val="center"/>
          </w:tcPr>
          <w:p w14:paraId="2D052877">
            <w:pPr>
              <w:widowControl/>
              <w:jc w:val="center"/>
              <w:rPr>
                <w:rFonts w:ascii="宋体" w:hAnsi="宋体" w:eastAsia="宋体" w:cs="宋体"/>
                <w:kern w:val="0"/>
                <w:sz w:val="18"/>
                <w:szCs w:val="18"/>
              </w:rPr>
            </w:pPr>
            <w:r>
              <w:rPr>
                <w:rFonts w:hint="eastAsia" w:ascii="宋体" w:hAnsi="宋体" w:eastAsia="宋体" w:cs="宋体"/>
                <w:kern w:val="0"/>
                <w:sz w:val="18"/>
                <w:szCs w:val="18"/>
              </w:rPr>
              <w:t>265</w:t>
            </w:r>
          </w:p>
        </w:tc>
        <w:tc>
          <w:tcPr>
            <w:tcW w:w="953" w:type="dxa"/>
            <w:tcBorders>
              <w:top w:val="single" w:color="000000" w:sz="4" w:space="0"/>
              <w:left w:val="single" w:color="000000" w:sz="4" w:space="0"/>
              <w:bottom w:val="single" w:color="000000" w:sz="4" w:space="0"/>
              <w:right w:val="single" w:color="000000" w:sz="4" w:space="0"/>
            </w:tcBorders>
            <w:vAlign w:val="center"/>
          </w:tcPr>
          <w:p w14:paraId="7A792501">
            <w:pPr>
              <w:widowControl/>
              <w:jc w:val="center"/>
              <w:rPr>
                <w:rFonts w:ascii="宋体" w:hAnsi="宋体" w:eastAsia="宋体" w:cs="宋体"/>
                <w:kern w:val="0"/>
                <w:sz w:val="18"/>
                <w:szCs w:val="18"/>
              </w:rPr>
            </w:pPr>
            <w:r>
              <w:rPr>
                <w:rFonts w:hint="eastAsia" w:ascii="宋体" w:hAnsi="宋体" w:eastAsia="宋体" w:cs="宋体"/>
                <w:kern w:val="0"/>
                <w:sz w:val="18"/>
                <w:szCs w:val="18"/>
              </w:rPr>
              <w:t>0.85</w:t>
            </w:r>
          </w:p>
        </w:tc>
        <w:tc>
          <w:tcPr>
            <w:tcW w:w="924" w:type="dxa"/>
            <w:tcBorders>
              <w:top w:val="single" w:color="000000" w:sz="4" w:space="0"/>
              <w:left w:val="single" w:color="000000" w:sz="4" w:space="0"/>
              <w:bottom w:val="single" w:color="000000" w:sz="4" w:space="0"/>
              <w:right w:val="single" w:color="000000" w:sz="4" w:space="0"/>
            </w:tcBorders>
            <w:vAlign w:val="center"/>
          </w:tcPr>
          <w:p w14:paraId="681F0AF5">
            <w:pPr>
              <w:widowControl/>
              <w:jc w:val="center"/>
              <w:rPr>
                <w:rFonts w:ascii="宋体" w:hAnsi="宋体" w:eastAsia="宋体" w:cs="宋体"/>
                <w:kern w:val="0"/>
                <w:sz w:val="18"/>
                <w:szCs w:val="18"/>
              </w:rPr>
            </w:pPr>
            <w:r>
              <w:rPr>
                <w:rFonts w:hint="eastAsia" w:ascii="宋体" w:hAnsi="宋体" w:eastAsia="宋体" w:cs="宋体"/>
                <w:kern w:val="0"/>
                <w:sz w:val="18"/>
                <w:szCs w:val="18"/>
              </w:rPr>
              <w:t>440.64</w:t>
            </w:r>
          </w:p>
        </w:tc>
        <w:tc>
          <w:tcPr>
            <w:tcW w:w="1406" w:type="dxa"/>
            <w:tcBorders>
              <w:top w:val="single" w:color="000000" w:sz="4" w:space="0"/>
              <w:left w:val="single" w:color="000000" w:sz="4" w:space="0"/>
              <w:bottom w:val="single" w:color="000000" w:sz="4" w:space="0"/>
              <w:right w:val="single" w:color="000000" w:sz="4" w:space="0"/>
            </w:tcBorders>
            <w:vAlign w:val="center"/>
          </w:tcPr>
          <w:p w14:paraId="4605A5B2">
            <w:pPr>
              <w:widowControl/>
              <w:jc w:val="center"/>
              <w:rPr>
                <w:rFonts w:ascii="宋体" w:hAnsi="宋体" w:eastAsia="宋体" w:cs="宋体"/>
                <w:kern w:val="0"/>
                <w:sz w:val="18"/>
                <w:szCs w:val="18"/>
              </w:rPr>
            </w:pPr>
            <w:r>
              <w:rPr>
                <w:rFonts w:hint="eastAsia" w:ascii="宋体" w:hAnsi="宋体" w:eastAsia="宋体" w:cs="宋体"/>
                <w:kern w:val="0"/>
                <w:sz w:val="18"/>
                <w:szCs w:val="18"/>
              </w:rPr>
              <w:t>1240357.91</w:t>
            </w:r>
          </w:p>
        </w:tc>
      </w:tr>
      <w:tr w14:paraId="7B0FED73">
        <w:tblPrEx>
          <w:tblCellMar>
            <w:top w:w="0" w:type="dxa"/>
            <w:left w:w="108" w:type="dxa"/>
            <w:bottom w:w="0" w:type="dxa"/>
            <w:right w:w="108" w:type="dxa"/>
          </w:tblCellMar>
        </w:tblPrEx>
        <w:trPr>
          <w:trHeight w:val="340" w:hRule="atLeast"/>
        </w:trPr>
        <w:tc>
          <w:tcPr>
            <w:tcW w:w="1890" w:type="dxa"/>
            <w:gridSpan w:val="2"/>
            <w:tcBorders>
              <w:top w:val="single" w:color="000000" w:sz="4" w:space="0"/>
              <w:left w:val="single" w:color="000000" w:sz="4" w:space="0"/>
              <w:bottom w:val="single" w:color="000000" w:sz="4" w:space="0"/>
              <w:right w:val="single" w:color="000000" w:sz="4" w:space="0"/>
            </w:tcBorders>
            <w:vAlign w:val="center"/>
          </w:tcPr>
          <w:p w14:paraId="70716A8B">
            <w:pPr>
              <w:widowControl/>
              <w:jc w:val="center"/>
              <w:rPr>
                <w:rFonts w:ascii="宋体" w:hAnsi="宋体" w:eastAsia="宋体" w:cs="宋体"/>
                <w:kern w:val="0"/>
                <w:sz w:val="18"/>
                <w:szCs w:val="18"/>
              </w:rPr>
            </w:pPr>
            <w:r>
              <w:rPr>
                <w:rFonts w:hint="eastAsia" w:ascii="宋体" w:hAnsi="宋体" w:eastAsia="宋体" w:cs="宋体"/>
                <w:kern w:val="0"/>
                <w:sz w:val="18"/>
                <w:szCs w:val="18"/>
              </w:rPr>
              <w:t>合计</w:t>
            </w:r>
          </w:p>
        </w:tc>
        <w:tc>
          <w:tcPr>
            <w:tcW w:w="1053" w:type="dxa"/>
            <w:tcBorders>
              <w:top w:val="single" w:color="000000" w:sz="4" w:space="0"/>
              <w:left w:val="single" w:color="000000" w:sz="4" w:space="0"/>
              <w:bottom w:val="single" w:color="000000" w:sz="4" w:space="0"/>
              <w:right w:val="single" w:color="000000" w:sz="4" w:space="0"/>
            </w:tcBorders>
            <w:vAlign w:val="center"/>
          </w:tcPr>
          <w:p w14:paraId="7CD08886">
            <w:pPr>
              <w:widowControl/>
              <w:jc w:val="center"/>
              <w:rPr>
                <w:rFonts w:ascii="宋体" w:hAnsi="宋体" w:eastAsia="宋体" w:cs="宋体"/>
                <w:kern w:val="0"/>
                <w:sz w:val="18"/>
                <w:szCs w:val="18"/>
              </w:rPr>
            </w:pPr>
            <w:r>
              <w:rPr>
                <w:rFonts w:hint="eastAsia" w:ascii="宋体" w:hAnsi="宋体" w:eastAsia="宋体" w:cs="宋体"/>
                <w:kern w:val="0"/>
                <w:sz w:val="18"/>
                <w:szCs w:val="18"/>
              </w:rPr>
              <w:t>130144.06</w:t>
            </w:r>
          </w:p>
        </w:tc>
        <w:tc>
          <w:tcPr>
            <w:tcW w:w="975" w:type="dxa"/>
            <w:tcBorders>
              <w:top w:val="single" w:color="000000" w:sz="4" w:space="0"/>
              <w:left w:val="single" w:color="000000" w:sz="4" w:space="0"/>
              <w:bottom w:val="single" w:color="000000" w:sz="4" w:space="0"/>
              <w:right w:val="single" w:color="000000" w:sz="4" w:space="0"/>
            </w:tcBorders>
            <w:vAlign w:val="center"/>
          </w:tcPr>
          <w:p w14:paraId="014DFCB3">
            <w:pPr>
              <w:widowControl/>
              <w:jc w:val="center"/>
              <w:rPr>
                <w:rFonts w:ascii="宋体" w:hAnsi="宋体" w:eastAsia="宋体" w:cs="宋体"/>
                <w:kern w:val="0"/>
                <w:sz w:val="18"/>
                <w:szCs w:val="18"/>
              </w:rPr>
            </w:pPr>
            <w:r>
              <w:rPr>
                <w:rFonts w:hint="eastAsia" w:ascii="宋体" w:hAnsi="宋体" w:eastAsia="宋体" w:cs="宋体"/>
                <w:kern w:val="0"/>
                <w:sz w:val="18"/>
                <w:szCs w:val="18"/>
              </w:rPr>
              <w:t>5493.77</w:t>
            </w:r>
          </w:p>
        </w:tc>
        <w:tc>
          <w:tcPr>
            <w:tcW w:w="923" w:type="dxa"/>
            <w:tcBorders>
              <w:top w:val="single" w:color="000000" w:sz="4" w:space="0"/>
              <w:left w:val="single" w:color="000000" w:sz="4" w:space="0"/>
              <w:bottom w:val="single" w:color="000000" w:sz="4" w:space="0"/>
              <w:right w:val="single" w:color="000000" w:sz="4" w:space="0"/>
            </w:tcBorders>
            <w:vAlign w:val="center"/>
          </w:tcPr>
          <w:p w14:paraId="7EC918F2">
            <w:pPr>
              <w:widowControl/>
              <w:jc w:val="center"/>
              <w:rPr>
                <w:rFonts w:ascii="宋体" w:hAnsi="宋体" w:eastAsia="宋体" w:cs="宋体"/>
                <w:kern w:val="0"/>
                <w:sz w:val="18"/>
                <w:szCs w:val="18"/>
              </w:rPr>
            </w:pPr>
            <w:r>
              <w:rPr>
                <w:rFonts w:hint="eastAsia" w:ascii="宋体" w:hAnsi="宋体" w:eastAsia="宋体" w:cs="宋体"/>
                <w:kern w:val="0"/>
                <w:sz w:val="18"/>
                <w:szCs w:val="18"/>
              </w:rPr>
              <w:t>387.34</w:t>
            </w:r>
          </w:p>
        </w:tc>
        <w:tc>
          <w:tcPr>
            <w:tcW w:w="833" w:type="dxa"/>
            <w:tcBorders>
              <w:top w:val="single" w:color="000000" w:sz="4" w:space="0"/>
              <w:left w:val="single" w:color="000000" w:sz="4" w:space="0"/>
              <w:bottom w:val="single" w:color="000000" w:sz="4" w:space="0"/>
              <w:right w:val="single" w:color="000000" w:sz="4" w:space="0"/>
            </w:tcBorders>
            <w:vAlign w:val="center"/>
          </w:tcPr>
          <w:p w14:paraId="3840B5DD">
            <w:pPr>
              <w:widowControl/>
              <w:jc w:val="center"/>
              <w:rPr>
                <w:rFonts w:ascii="宋体" w:hAnsi="宋体" w:eastAsia="宋体" w:cs="宋体"/>
                <w:kern w:val="0"/>
                <w:sz w:val="18"/>
                <w:szCs w:val="18"/>
              </w:rPr>
            </w:pPr>
            <w:r>
              <w:rPr>
                <w:rFonts w:hint="eastAsia" w:ascii="宋体" w:hAnsi="宋体" w:eastAsia="宋体" w:cs="宋体"/>
                <w:kern w:val="0"/>
                <w:sz w:val="18"/>
                <w:szCs w:val="18"/>
              </w:rPr>
              <w:t>265</w:t>
            </w:r>
          </w:p>
        </w:tc>
        <w:tc>
          <w:tcPr>
            <w:tcW w:w="953" w:type="dxa"/>
            <w:tcBorders>
              <w:top w:val="single" w:color="000000" w:sz="4" w:space="0"/>
              <w:left w:val="single" w:color="000000" w:sz="4" w:space="0"/>
              <w:bottom w:val="single" w:color="000000" w:sz="4" w:space="0"/>
              <w:right w:val="single" w:color="000000" w:sz="4" w:space="0"/>
            </w:tcBorders>
            <w:vAlign w:val="center"/>
          </w:tcPr>
          <w:p w14:paraId="6296800D">
            <w:pPr>
              <w:widowControl/>
              <w:jc w:val="center"/>
              <w:rPr>
                <w:rFonts w:ascii="宋体" w:hAnsi="宋体" w:eastAsia="宋体" w:cs="宋体"/>
                <w:kern w:val="0"/>
                <w:sz w:val="18"/>
                <w:szCs w:val="18"/>
              </w:rPr>
            </w:pPr>
            <w:r>
              <w:rPr>
                <w:rFonts w:hint="eastAsia" w:ascii="宋体" w:hAnsi="宋体" w:eastAsia="宋体" w:cs="宋体"/>
                <w:kern w:val="0"/>
                <w:sz w:val="18"/>
                <w:szCs w:val="18"/>
              </w:rPr>
              <w:t>0.85</w:t>
            </w:r>
          </w:p>
        </w:tc>
        <w:tc>
          <w:tcPr>
            <w:tcW w:w="924" w:type="dxa"/>
            <w:tcBorders>
              <w:top w:val="single" w:color="000000" w:sz="4" w:space="0"/>
              <w:left w:val="single" w:color="000000" w:sz="4" w:space="0"/>
              <w:bottom w:val="single" w:color="000000" w:sz="4" w:space="0"/>
              <w:right w:val="single" w:color="000000" w:sz="4" w:space="0"/>
            </w:tcBorders>
            <w:vAlign w:val="center"/>
          </w:tcPr>
          <w:p w14:paraId="572E515E">
            <w:pPr>
              <w:widowControl/>
              <w:jc w:val="center"/>
              <w:rPr>
                <w:rFonts w:ascii="宋体" w:hAnsi="宋体" w:eastAsia="宋体" w:cs="宋体"/>
                <w:kern w:val="0"/>
                <w:sz w:val="18"/>
                <w:szCs w:val="18"/>
              </w:rPr>
            </w:pPr>
            <w:r>
              <w:rPr>
                <w:rFonts w:hint="eastAsia" w:ascii="宋体" w:hAnsi="宋体" w:eastAsia="宋体" w:cs="宋体"/>
                <w:kern w:val="0"/>
                <w:sz w:val="18"/>
                <w:szCs w:val="18"/>
              </w:rPr>
              <w:t>479.32</w:t>
            </w:r>
          </w:p>
        </w:tc>
        <w:tc>
          <w:tcPr>
            <w:tcW w:w="1406" w:type="dxa"/>
            <w:tcBorders>
              <w:top w:val="single" w:color="000000" w:sz="4" w:space="0"/>
              <w:left w:val="single" w:color="000000" w:sz="4" w:space="0"/>
              <w:bottom w:val="single" w:color="000000" w:sz="4" w:space="0"/>
              <w:right w:val="single" w:color="000000" w:sz="4" w:space="0"/>
            </w:tcBorders>
            <w:vAlign w:val="center"/>
          </w:tcPr>
          <w:p w14:paraId="7AF3D1A2">
            <w:pPr>
              <w:widowControl/>
              <w:jc w:val="center"/>
              <w:rPr>
                <w:rFonts w:ascii="宋体" w:hAnsi="宋体" w:eastAsia="宋体" w:cs="宋体"/>
                <w:kern w:val="0"/>
                <w:sz w:val="18"/>
                <w:szCs w:val="18"/>
              </w:rPr>
            </w:pPr>
            <w:r>
              <w:rPr>
                <w:rFonts w:hint="eastAsia" w:ascii="宋体" w:hAnsi="宋体" w:eastAsia="宋体" w:cs="宋体"/>
                <w:kern w:val="0"/>
                <w:sz w:val="18"/>
                <w:szCs w:val="18"/>
              </w:rPr>
              <w:t>62380271.06</w:t>
            </w:r>
          </w:p>
        </w:tc>
      </w:tr>
    </w:tbl>
    <w:p w14:paraId="4DEA38A0">
      <w:pPr>
        <w:spacing w:line="580" w:lineRule="exact"/>
        <w:ind w:firstLine="562" w:firstLineChars="200"/>
        <w:rPr>
          <w:b/>
          <w:sz w:val="28"/>
        </w:rPr>
      </w:pPr>
      <w:r>
        <w:rPr>
          <w:rFonts w:hint="eastAsia"/>
          <w:b/>
          <w:sz w:val="28"/>
        </w:rPr>
        <w:t>2、高标准农田建设成效显著</w:t>
      </w:r>
    </w:p>
    <w:p w14:paraId="7822A989">
      <w:pPr>
        <w:spacing w:line="580" w:lineRule="exact"/>
        <w:ind w:firstLine="560" w:firstLineChars="200"/>
        <w:rPr>
          <w:sz w:val="28"/>
        </w:rPr>
      </w:pPr>
      <w:r>
        <w:rPr>
          <w:rFonts w:hint="eastAsia"/>
          <w:sz w:val="28"/>
        </w:rPr>
        <w:t>持续加快品种改良和现代化种植业提升工程。系统谋划土地碎片化治理4.47万亩，完成高标准农田建设11.1万亩。</w:t>
      </w:r>
    </w:p>
    <w:p w14:paraId="30FC8556">
      <w:pPr>
        <w:spacing w:line="580" w:lineRule="exact"/>
        <w:jc w:val="center"/>
        <w:rPr>
          <w:b/>
          <w:sz w:val="28"/>
        </w:rPr>
      </w:pPr>
      <w:r>
        <w:rPr>
          <w:rFonts w:hint="eastAsia"/>
          <w:b/>
          <w:sz w:val="28"/>
        </w:rPr>
        <w:t>表1-3 “十四五”期间完成高标准农田及农机建设项目统计表</w:t>
      </w:r>
    </w:p>
    <w:tbl>
      <w:tblPr>
        <w:tblStyle w:val="25"/>
        <w:tblW w:w="8946" w:type="dxa"/>
        <w:jc w:val="center"/>
        <w:tblLayout w:type="fixed"/>
        <w:tblCellMar>
          <w:top w:w="0" w:type="dxa"/>
          <w:left w:w="108" w:type="dxa"/>
          <w:bottom w:w="0" w:type="dxa"/>
          <w:right w:w="108" w:type="dxa"/>
        </w:tblCellMar>
      </w:tblPr>
      <w:tblGrid>
        <w:gridCol w:w="420"/>
        <w:gridCol w:w="136"/>
        <w:gridCol w:w="811"/>
        <w:gridCol w:w="138"/>
        <w:gridCol w:w="4888"/>
        <w:gridCol w:w="1456"/>
        <w:gridCol w:w="1097"/>
      </w:tblGrid>
      <w:tr w14:paraId="25C39A31">
        <w:tblPrEx>
          <w:tblCellMar>
            <w:top w:w="0" w:type="dxa"/>
            <w:left w:w="108" w:type="dxa"/>
            <w:bottom w:w="0" w:type="dxa"/>
            <w:right w:w="108" w:type="dxa"/>
          </w:tblCellMar>
        </w:tblPrEx>
        <w:trPr>
          <w:trHeight w:val="536" w:hRule="atLeast"/>
          <w:jc w:val="center"/>
        </w:trPr>
        <w:tc>
          <w:tcPr>
            <w:tcW w:w="556" w:type="dxa"/>
            <w:gridSpan w:val="2"/>
            <w:tcBorders>
              <w:top w:val="single" w:color="auto" w:sz="4" w:space="0"/>
              <w:left w:val="single" w:color="auto" w:sz="4" w:space="0"/>
              <w:bottom w:val="single" w:color="auto" w:sz="4" w:space="0"/>
              <w:right w:val="single" w:color="auto" w:sz="4" w:space="0"/>
            </w:tcBorders>
            <w:vAlign w:val="center"/>
          </w:tcPr>
          <w:p w14:paraId="4A578831">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949" w:type="dxa"/>
            <w:gridSpan w:val="2"/>
            <w:tcBorders>
              <w:top w:val="single" w:color="auto" w:sz="4" w:space="0"/>
              <w:left w:val="nil"/>
              <w:bottom w:val="single" w:color="auto" w:sz="4" w:space="0"/>
              <w:right w:val="single" w:color="auto" w:sz="4" w:space="0"/>
            </w:tcBorders>
            <w:vAlign w:val="center"/>
          </w:tcPr>
          <w:p w14:paraId="60717055">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年度</w:t>
            </w:r>
          </w:p>
        </w:tc>
        <w:tc>
          <w:tcPr>
            <w:tcW w:w="4888" w:type="dxa"/>
            <w:tcBorders>
              <w:top w:val="single" w:color="auto" w:sz="4" w:space="0"/>
              <w:left w:val="nil"/>
              <w:bottom w:val="single" w:color="auto" w:sz="4" w:space="0"/>
              <w:right w:val="single" w:color="auto" w:sz="4" w:space="0"/>
            </w:tcBorders>
            <w:vAlign w:val="center"/>
          </w:tcPr>
          <w:p w14:paraId="7304B424">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项目名称</w:t>
            </w:r>
          </w:p>
        </w:tc>
        <w:tc>
          <w:tcPr>
            <w:tcW w:w="1456" w:type="dxa"/>
            <w:tcBorders>
              <w:top w:val="single" w:color="auto" w:sz="4" w:space="0"/>
              <w:left w:val="nil"/>
              <w:bottom w:val="single" w:color="auto" w:sz="4" w:space="0"/>
              <w:right w:val="single" w:color="auto" w:sz="4" w:space="0"/>
            </w:tcBorders>
            <w:vAlign w:val="center"/>
          </w:tcPr>
          <w:p w14:paraId="7786A4A3">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资金来源</w:t>
            </w:r>
          </w:p>
        </w:tc>
        <w:tc>
          <w:tcPr>
            <w:tcW w:w="1097" w:type="dxa"/>
            <w:tcBorders>
              <w:top w:val="single" w:color="auto" w:sz="4" w:space="0"/>
              <w:left w:val="nil"/>
              <w:bottom w:val="single" w:color="auto" w:sz="4" w:space="0"/>
              <w:right w:val="single" w:color="auto" w:sz="4" w:space="0"/>
            </w:tcBorders>
            <w:vAlign w:val="center"/>
          </w:tcPr>
          <w:p w14:paraId="7EC2A867">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总投资</w:t>
            </w:r>
            <w:r>
              <w:rPr>
                <w:rFonts w:ascii="宋体" w:hAnsi="宋体" w:eastAsia="宋体" w:cs="宋体"/>
                <w:b/>
                <w:bCs/>
                <w:kern w:val="0"/>
                <w:sz w:val="18"/>
                <w:szCs w:val="18"/>
              </w:rPr>
              <w:br w:type="textWrapping"/>
            </w:r>
            <w:r>
              <w:rPr>
                <w:rFonts w:hint="eastAsia" w:ascii="宋体" w:hAnsi="宋体" w:eastAsia="宋体" w:cs="宋体"/>
                <w:b/>
                <w:bCs/>
                <w:kern w:val="0"/>
                <w:sz w:val="18"/>
                <w:szCs w:val="18"/>
              </w:rPr>
              <w:t>（万元）</w:t>
            </w:r>
          </w:p>
        </w:tc>
      </w:tr>
      <w:tr w14:paraId="7C8A6361">
        <w:tblPrEx>
          <w:tblCellMar>
            <w:top w:w="0" w:type="dxa"/>
            <w:left w:w="108" w:type="dxa"/>
            <w:bottom w:w="0" w:type="dxa"/>
            <w:right w:w="108" w:type="dxa"/>
          </w:tblCellMar>
        </w:tblPrEx>
        <w:trPr>
          <w:trHeight w:val="237" w:hRule="atLeast"/>
          <w:jc w:val="center"/>
        </w:trPr>
        <w:tc>
          <w:tcPr>
            <w:tcW w:w="6393" w:type="dxa"/>
            <w:gridSpan w:val="5"/>
            <w:tcBorders>
              <w:top w:val="single" w:color="auto" w:sz="4" w:space="0"/>
              <w:left w:val="single" w:color="auto" w:sz="4" w:space="0"/>
              <w:bottom w:val="single" w:color="auto" w:sz="4" w:space="0"/>
              <w:right w:val="single" w:color="auto" w:sz="4" w:space="0"/>
            </w:tcBorders>
            <w:vAlign w:val="center"/>
          </w:tcPr>
          <w:p w14:paraId="67E66FB0">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合计：</w:t>
            </w:r>
            <w:r>
              <w:rPr>
                <w:rFonts w:ascii="宋体" w:hAnsi="宋体" w:eastAsia="宋体" w:cs="宋体"/>
                <w:b/>
                <w:bCs/>
                <w:kern w:val="0"/>
                <w:sz w:val="18"/>
                <w:szCs w:val="18"/>
              </w:rPr>
              <w:t>47</w:t>
            </w:r>
            <w:r>
              <w:rPr>
                <w:rFonts w:hint="eastAsia" w:ascii="宋体" w:hAnsi="宋体" w:eastAsia="宋体" w:cs="宋体"/>
                <w:b/>
                <w:bCs/>
                <w:kern w:val="0"/>
                <w:sz w:val="18"/>
                <w:szCs w:val="18"/>
              </w:rPr>
              <w:t>个项目</w:t>
            </w:r>
          </w:p>
        </w:tc>
        <w:tc>
          <w:tcPr>
            <w:tcW w:w="2553" w:type="dxa"/>
            <w:gridSpan w:val="2"/>
            <w:tcBorders>
              <w:top w:val="single" w:color="auto" w:sz="4" w:space="0"/>
              <w:left w:val="nil"/>
              <w:bottom w:val="single" w:color="auto" w:sz="4" w:space="0"/>
              <w:right w:val="single" w:color="auto" w:sz="4" w:space="0"/>
            </w:tcBorders>
            <w:vAlign w:val="center"/>
          </w:tcPr>
          <w:p w14:paraId="349E7912">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合计：</w:t>
            </w:r>
            <w:r>
              <w:rPr>
                <w:rFonts w:ascii="宋体" w:hAnsi="宋体" w:eastAsia="宋体" w:cs="宋体"/>
                <w:b/>
                <w:bCs/>
                <w:kern w:val="0"/>
                <w:sz w:val="18"/>
                <w:szCs w:val="18"/>
              </w:rPr>
              <w:t>48639.94</w:t>
            </w:r>
          </w:p>
        </w:tc>
      </w:tr>
      <w:tr w14:paraId="797D90A7">
        <w:tblPrEx>
          <w:tblCellMar>
            <w:top w:w="0" w:type="dxa"/>
            <w:left w:w="108" w:type="dxa"/>
            <w:bottom w:w="0" w:type="dxa"/>
            <w:right w:w="108" w:type="dxa"/>
          </w:tblCellMar>
        </w:tblPrEx>
        <w:trPr>
          <w:trHeight w:val="415" w:hRule="atLeast"/>
          <w:jc w:val="center"/>
        </w:trPr>
        <w:tc>
          <w:tcPr>
            <w:tcW w:w="420" w:type="dxa"/>
            <w:tcBorders>
              <w:top w:val="nil"/>
              <w:left w:val="single" w:color="auto" w:sz="4" w:space="0"/>
              <w:bottom w:val="single" w:color="auto" w:sz="4" w:space="0"/>
              <w:right w:val="single" w:color="auto" w:sz="4" w:space="0"/>
            </w:tcBorders>
            <w:noWrap/>
            <w:vAlign w:val="center"/>
          </w:tcPr>
          <w:p w14:paraId="731BB5BD">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w:t>
            </w:r>
          </w:p>
        </w:tc>
        <w:tc>
          <w:tcPr>
            <w:tcW w:w="947" w:type="dxa"/>
            <w:gridSpan w:val="2"/>
            <w:tcBorders>
              <w:top w:val="nil"/>
              <w:left w:val="nil"/>
              <w:bottom w:val="single" w:color="auto" w:sz="4" w:space="0"/>
              <w:right w:val="single" w:color="auto" w:sz="4" w:space="0"/>
            </w:tcBorders>
            <w:vAlign w:val="center"/>
          </w:tcPr>
          <w:p w14:paraId="63BE517B">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5026" w:type="dxa"/>
            <w:gridSpan w:val="2"/>
            <w:tcBorders>
              <w:top w:val="nil"/>
              <w:left w:val="nil"/>
              <w:bottom w:val="single" w:color="auto" w:sz="4" w:space="0"/>
              <w:right w:val="single" w:color="auto" w:sz="4" w:space="0"/>
            </w:tcBorders>
            <w:vAlign w:val="center"/>
          </w:tcPr>
          <w:p w14:paraId="59384FAB">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皮山县18个村2021年2万亩高效节水建设项目</w:t>
            </w:r>
          </w:p>
        </w:tc>
        <w:tc>
          <w:tcPr>
            <w:tcW w:w="1456" w:type="dxa"/>
            <w:tcBorders>
              <w:top w:val="nil"/>
              <w:left w:val="nil"/>
              <w:bottom w:val="single" w:color="auto" w:sz="4" w:space="0"/>
              <w:right w:val="single" w:color="auto" w:sz="4" w:space="0"/>
            </w:tcBorders>
            <w:vAlign w:val="center"/>
          </w:tcPr>
          <w:p w14:paraId="3D65ACDD">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第一批扶贫资金</w:t>
            </w:r>
          </w:p>
        </w:tc>
        <w:tc>
          <w:tcPr>
            <w:tcW w:w="1097" w:type="dxa"/>
            <w:tcBorders>
              <w:top w:val="nil"/>
              <w:left w:val="nil"/>
              <w:bottom w:val="single" w:color="auto" w:sz="4" w:space="0"/>
              <w:right w:val="single" w:color="auto" w:sz="4" w:space="0"/>
            </w:tcBorders>
            <w:vAlign w:val="center"/>
          </w:tcPr>
          <w:p w14:paraId="503FC30C">
            <w:pPr>
              <w:widowControl/>
              <w:jc w:val="center"/>
              <w:rPr>
                <w:rFonts w:ascii="宋体" w:hAnsi="宋体" w:eastAsia="宋体" w:cs="宋体"/>
                <w:kern w:val="0"/>
                <w:sz w:val="18"/>
                <w:szCs w:val="18"/>
              </w:rPr>
            </w:pPr>
            <w:r>
              <w:rPr>
                <w:rFonts w:hint="eastAsia" w:ascii="宋体" w:hAnsi="宋体" w:eastAsia="宋体" w:cs="宋体"/>
                <w:kern w:val="0"/>
                <w:sz w:val="18"/>
                <w:szCs w:val="18"/>
              </w:rPr>
              <w:t>3476.86</w:t>
            </w:r>
          </w:p>
        </w:tc>
      </w:tr>
      <w:tr w14:paraId="2D9A5756">
        <w:tblPrEx>
          <w:tblCellMar>
            <w:top w:w="0" w:type="dxa"/>
            <w:left w:w="108" w:type="dxa"/>
            <w:bottom w:w="0" w:type="dxa"/>
            <w:right w:w="108" w:type="dxa"/>
          </w:tblCellMar>
        </w:tblPrEx>
        <w:trPr>
          <w:trHeight w:val="251" w:hRule="atLeast"/>
          <w:jc w:val="center"/>
        </w:trPr>
        <w:tc>
          <w:tcPr>
            <w:tcW w:w="420" w:type="dxa"/>
            <w:tcBorders>
              <w:top w:val="nil"/>
              <w:left w:val="single" w:color="auto" w:sz="4" w:space="0"/>
              <w:bottom w:val="single" w:color="auto" w:sz="4" w:space="0"/>
              <w:right w:val="single" w:color="auto" w:sz="4" w:space="0"/>
            </w:tcBorders>
            <w:noWrap/>
            <w:vAlign w:val="center"/>
          </w:tcPr>
          <w:p w14:paraId="165C90EF">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w:t>
            </w:r>
          </w:p>
        </w:tc>
        <w:tc>
          <w:tcPr>
            <w:tcW w:w="947" w:type="dxa"/>
            <w:gridSpan w:val="2"/>
            <w:tcBorders>
              <w:top w:val="nil"/>
              <w:left w:val="nil"/>
              <w:bottom w:val="single" w:color="auto" w:sz="4" w:space="0"/>
              <w:right w:val="single" w:color="auto" w:sz="4" w:space="0"/>
            </w:tcBorders>
            <w:vAlign w:val="center"/>
          </w:tcPr>
          <w:p w14:paraId="7D926E6E">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5026" w:type="dxa"/>
            <w:gridSpan w:val="2"/>
            <w:tcBorders>
              <w:top w:val="nil"/>
              <w:left w:val="nil"/>
              <w:bottom w:val="single" w:color="auto" w:sz="4" w:space="0"/>
              <w:right w:val="single" w:color="auto" w:sz="4" w:space="0"/>
            </w:tcBorders>
            <w:vAlign w:val="center"/>
          </w:tcPr>
          <w:p w14:paraId="1C73ACA1">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皮山县农村土地整治项目</w:t>
            </w:r>
          </w:p>
        </w:tc>
        <w:tc>
          <w:tcPr>
            <w:tcW w:w="1456" w:type="dxa"/>
            <w:tcBorders>
              <w:top w:val="nil"/>
              <w:left w:val="nil"/>
              <w:bottom w:val="single" w:color="auto" w:sz="4" w:space="0"/>
              <w:right w:val="single" w:color="auto" w:sz="4" w:space="0"/>
            </w:tcBorders>
            <w:vAlign w:val="center"/>
          </w:tcPr>
          <w:p w14:paraId="23FFFA47">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土地增加挂资金项目</w:t>
            </w:r>
          </w:p>
        </w:tc>
        <w:tc>
          <w:tcPr>
            <w:tcW w:w="1097" w:type="dxa"/>
            <w:tcBorders>
              <w:top w:val="nil"/>
              <w:left w:val="nil"/>
              <w:bottom w:val="single" w:color="auto" w:sz="4" w:space="0"/>
              <w:right w:val="single" w:color="auto" w:sz="4" w:space="0"/>
            </w:tcBorders>
            <w:vAlign w:val="center"/>
          </w:tcPr>
          <w:p w14:paraId="43E5145F">
            <w:pPr>
              <w:widowControl/>
              <w:jc w:val="center"/>
              <w:rPr>
                <w:rFonts w:ascii="宋体" w:hAnsi="宋体" w:eastAsia="宋体" w:cs="宋体"/>
                <w:kern w:val="0"/>
                <w:sz w:val="18"/>
                <w:szCs w:val="18"/>
              </w:rPr>
            </w:pPr>
            <w:r>
              <w:rPr>
                <w:rFonts w:hint="eastAsia" w:ascii="宋体" w:hAnsi="宋体" w:eastAsia="宋体" w:cs="宋体"/>
                <w:kern w:val="0"/>
                <w:sz w:val="18"/>
                <w:szCs w:val="18"/>
              </w:rPr>
              <w:t>750</w:t>
            </w:r>
          </w:p>
        </w:tc>
      </w:tr>
      <w:tr w14:paraId="34E97924">
        <w:tblPrEx>
          <w:tblCellMar>
            <w:top w:w="0" w:type="dxa"/>
            <w:left w:w="108" w:type="dxa"/>
            <w:bottom w:w="0" w:type="dxa"/>
            <w:right w:w="108" w:type="dxa"/>
          </w:tblCellMar>
        </w:tblPrEx>
        <w:trPr>
          <w:trHeight w:val="203" w:hRule="atLeast"/>
          <w:jc w:val="center"/>
        </w:trPr>
        <w:tc>
          <w:tcPr>
            <w:tcW w:w="420" w:type="dxa"/>
            <w:tcBorders>
              <w:top w:val="nil"/>
              <w:left w:val="single" w:color="auto" w:sz="4" w:space="0"/>
              <w:bottom w:val="single" w:color="auto" w:sz="4" w:space="0"/>
              <w:right w:val="single" w:color="auto" w:sz="4" w:space="0"/>
            </w:tcBorders>
            <w:noWrap/>
            <w:vAlign w:val="center"/>
          </w:tcPr>
          <w:p w14:paraId="517764C7">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3</w:t>
            </w:r>
          </w:p>
        </w:tc>
        <w:tc>
          <w:tcPr>
            <w:tcW w:w="947" w:type="dxa"/>
            <w:gridSpan w:val="2"/>
            <w:tcBorders>
              <w:top w:val="nil"/>
              <w:left w:val="nil"/>
              <w:bottom w:val="single" w:color="auto" w:sz="4" w:space="0"/>
              <w:right w:val="single" w:color="auto" w:sz="4" w:space="0"/>
            </w:tcBorders>
            <w:vAlign w:val="center"/>
          </w:tcPr>
          <w:p w14:paraId="05E7AA2B">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5026" w:type="dxa"/>
            <w:gridSpan w:val="2"/>
            <w:tcBorders>
              <w:top w:val="nil"/>
              <w:left w:val="nil"/>
              <w:bottom w:val="single" w:color="auto" w:sz="4" w:space="0"/>
              <w:right w:val="single" w:color="auto" w:sz="4" w:space="0"/>
            </w:tcBorders>
            <w:vAlign w:val="center"/>
          </w:tcPr>
          <w:p w14:paraId="24F53058">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皮山县藏桂乡永安新村农机购置项目</w:t>
            </w:r>
          </w:p>
        </w:tc>
        <w:tc>
          <w:tcPr>
            <w:tcW w:w="1456" w:type="dxa"/>
            <w:tcBorders>
              <w:top w:val="nil"/>
              <w:left w:val="nil"/>
              <w:bottom w:val="single" w:color="auto" w:sz="4" w:space="0"/>
              <w:right w:val="single" w:color="auto" w:sz="4" w:space="0"/>
            </w:tcBorders>
            <w:vAlign w:val="center"/>
          </w:tcPr>
          <w:p w14:paraId="09D7D55C">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土地增加挂资金项目</w:t>
            </w:r>
          </w:p>
        </w:tc>
        <w:tc>
          <w:tcPr>
            <w:tcW w:w="1097" w:type="dxa"/>
            <w:tcBorders>
              <w:top w:val="nil"/>
              <w:left w:val="nil"/>
              <w:bottom w:val="single" w:color="auto" w:sz="4" w:space="0"/>
              <w:right w:val="single" w:color="auto" w:sz="4" w:space="0"/>
            </w:tcBorders>
            <w:vAlign w:val="center"/>
          </w:tcPr>
          <w:p w14:paraId="10F87CD2">
            <w:pPr>
              <w:widowControl/>
              <w:jc w:val="center"/>
              <w:rPr>
                <w:rFonts w:ascii="宋体" w:hAnsi="宋体" w:eastAsia="宋体" w:cs="宋体"/>
                <w:kern w:val="0"/>
                <w:sz w:val="18"/>
                <w:szCs w:val="18"/>
              </w:rPr>
            </w:pPr>
            <w:r>
              <w:rPr>
                <w:rFonts w:hint="eastAsia" w:ascii="宋体" w:hAnsi="宋体" w:eastAsia="宋体" w:cs="宋体"/>
                <w:kern w:val="0"/>
                <w:sz w:val="18"/>
                <w:szCs w:val="18"/>
              </w:rPr>
              <w:t>250</w:t>
            </w:r>
          </w:p>
        </w:tc>
      </w:tr>
      <w:tr w14:paraId="62CFA1F2">
        <w:tblPrEx>
          <w:tblCellMar>
            <w:top w:w="0" w:type="dxa"/>
            <w:left w:w="108" w:type="dxa"/>
            <w:bottom w:w="0" w:type="dxa"/>
            <w:right w:w="108" w:type="dxa"/>
          </w:tblCellMar>
        </w:tblPrEx>
        <w:trPr>
          <w:trHeight w:val="237" w:hRule="atLeast"/>
          <w:jc w:val="center"/>
        </w:trPr>
        <w:tc>
          <w:tcPr>
            <w:tcW w:w="420" w:type="dxa"/>
            <w:tcBorders>
              <w:top w:val="nil"/>
              <w:left w:val="single" w:color="auto" w:sz="4" w:space="0"/>
              <w:bottom w:val="single" w:color="auto" w:sz="4" w:space="0"/>
              <w:right w:val="single" w:color="auto" w:sz="4" w:space="0"/>
            </w:tcBorders>
            <w:noWrap/>
            <w:vAlign w:val="center"/>
          </w:tcPr>
          <w:p w14:paraId="6AFD62D8">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4</w:t>
            </w:r>
          </w:p>
        </w:tc>
        <w:tc>
          <w:tcPr>
            <w:tcW w:w="947" w:type="dxa"/>
            <w:gridSpan w:val="2"/>
            <w:tcBorders>
              <w:top w:val="nil"/>
              <w:left w:val="nil"/>
              <w:bottom w:val="single" w:color="auto" w:sz="4" w:space="0"/>
              <w:right w:val="single" w:color="auto" w:sz="4" w:space="0"/>
            </w:tcBorders>
            <w:vAlign w:val="center"/>
          </w:tcPr>
          <w:p w14:paraId="01F13658">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5026" w:type="dxa"/>
            <w:gridSpan w:val="2"/>
            <w:tcBorders>
              <w:top w:val="nil"/>
              <w:left w:val="nil"/>
              <w:bottom w:val="single" w:color="auto" w:sz="4" w:space="0"/>
              <w:right w:val="single" w:color="auto" w:sz="4" w:space="0"/>
            </w:tcBorders>
            <w:vAlign w:val="center"/>
          </w:tcPr>
          <w:p w14:paraId="296C49A0">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皮山县2021年高标准农田建设项目</w:t>
            </w:r>
          </w:p>
        </w:tc>
        <w:tc>
          <w:tcPr>
            <w:tcW w:w="1456" w:type="dxa"/>
            <w:tcBorders>
              <w:top w:val="nil"/>
              <w:left w:val="nil"/>
              <w:bottom w:val="single" w:color="auto" w:sz="4" w:space="0"/>
              <w:right w:val="single" w:color="auto" w:sz="4" w:space="0"/>
            </w:tcBorders>
            <w:vAlign w:val="center"/>
          </w:tcPr>
          <w:p w14:paraId="161A7A24">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中央预算内资金</w:t>
            </w:r>
          </w:p>
        </w:tc>
        <w:tc>
          <w:tcPr>
            <w:tcW w:w="1097" w:type="dxa"/>
            <w:tcBorders>
              <w:top w:val="nil"/>
              <w:left w:val="nil"/>
              <w:bottom w:val="single" w:color="auto" w:sz="4" w:space="0"/>
              <w:right w:val="single" w:color="auto" w:sz="4" w:space="0"/>
            </w:tcBorders>
            <w:vAlign w:val="center"/>
          </w:tcPr>
          <w:p w14:paraId="4F68C7FF">
            <w:pPr>
              <w:widowControl/>
              <w:jc w:val="center"/>
              <w:rPr>
                <w:rFonts w:ascii="宋体" w:hAnsi="宋体" w:eastAsia="宋体" w:cs="宋体"/>
                <w:kern w:val="0"/>
                <w:sz w:val="18"/>
                <w:szCs w:val="18"/>
              </w:rPr>
            </w:pPr>
            <w:r>
              <w:rPr>
                <w:rFonts w:hint="eastAsia" w:ascii="宋体" w:hAnsi="宋体" w:eastAsia="宋体" w:cs="宋体"/>
                <w:kern w:val="0"/>
                <w:sz w:val="18"/>
                <w:szCs w:val="18"/>
              </w:rPr>
              <w:t>630</w:t>
            </w:r>
          </w:p>
        </w:tc>
      </w:tr>
      <w:tr w14:paraId="2015BAFA">
        <w:tblPrEx>
          <w:tblCellMar>
            <w:top w:w="0" w:type="dxa"/>
            <w:left w:w="108" w:type="dxa"/>
            <w:bottom w:w="0" w:type="dxa"/>
            <w:right w:w="108" w:type="dxa"/>
          </w:tblCellMar>
        </w:tblPrEx>
        <w:trPr>
          <w:trHeight w:val="357" w:hRule="atLeast"/>
          <w:jc w:val="center"/>
        </w:trPr>
        <w:tc>
          <w:tcPr>
            <w:tcW w:w="420" w:type="dxa"/>
            <w:tcBorders>
              <w:top w:val="nil"/>
              <w:left w:val="single" w:color="auto" w:sz="4" w:space="0"/>
              <w:bottom w:val="single" w:color="auto" w:sz="4" w:space="0"/>
              <w:right w:val="single" w:color="auto" w:sz="4" w:space="0"/>
            </w:tcBorders>
            <w:noWrap/>
            <w:vAlign w:val="center"/>
          </w:tcPr>
          <w:p w14:paraId="48AF14B2">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5</w:t>
            </w:r>
          </w:p>
        </w:tc>
        <w:tc>
          <w:tcPr>
            <w:tcW w:w="947" w:type="dxa"/>
            <w:gridSpan w:val="2"/>
            <w:tcBorders>
              <w:top w:val="nil"/>
              <w:left w:val="nil"/>
              <w:bottom w:val="single" w:color="auto" w:sz="4" w:space="0"/>
              <w:right w:val="single" w:color="auto" w:sz="4" w:space="0"/>
            </w:tcBorders>
            <w:vAlign w:val="center"/>
          </w:tcPr>
          <w:p w14:paraId="062BA102">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2022年</w:t>
            </w:r>
          </w:p>
        </w:tc>
        <w:tc>
          <w:tcPr>
            <w:tcW w:w="5026" w:type="dxa"/>
            <w:gridSpan w:val="2"/>
            <w:tcBorders>
              <w:top w:val="nil"/>
              <w:left w:val="nil"/>
              <w:bottom w:val="single" w:color="auto" w:sz="4" w:space="0"/>
              <w:right w:val="single" w:color="auto" w:sz="4" w:space="0"/>
            </w:tcBorders>
            <w:vAlign w:val="center"/>
          </w:tcPr>
          <w:p w14:paraId="05738E52">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皮山县木吉镇、藏桂乡7个村2022年1万亩高标准农田建设项目</w:t>
            </w:r>
          </w:p>
        </w:tc>
        <w:tc>
          <w:tcPr>
            <w:tcW w:w="1456" w:type="dxa"/>
            <w:tcBorders>
              <w:top w:val="nil"/>
              <w:left w:val="nil"/>
              <w:bottom w:val="single" w:color="auto" w:sz="4" w:space="0"/>
              <w:right w:val="single" w:color="auto" w:sz="4" w:space="0"/>
            </w:tcBorders>
            <w:vAlign w:val="center"/>
          </w:tcPr>
          <w:p w14:paraId="3BF6CBE9">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nil"/>
              <w:left w:val="nil"/>
              <w:bottom w:val="single" w:color="auto" w:sz="4" w:space="0"/>
              <w:right w:val="single" w:color="auto" w:sz="4" w:space="0"/>
            </w:tcBorders>
            <w:vAlign w:val="center"/>
          </w:tcPr>
          <w:p w14:paraId="1B2FAC53">
            <w:pPr>
              <w:widowControl/>
              <w:jc w:val="center"/>
              <w:rPr>
                <w:rFonts w:ascii="宋体" w:hAnsi="宋体" w:eastAsia="宋体" w:cs="宋体"/>
                <w:kern w:val="0"/>
                <w:sz w:val="18"/>
                <w:szCs w:val="18"/>
              </w:rPr>
            </w:pPr>
            <w:r>
              <w:rPr>
                <w:rFonts w:hint="eastAsia" w:ascii="宋体" w:hAnsi="宋体" w:eastAsia="宋体" w:cs="宋体"/>
                <w:kern w:val="0"/>
                <w:sz w:val="18"/>
                <w:szCs w:val="18"/>
              </w:rPr>
              <w:t>2488.86</w:t>
            </w:r>
          </w:p>
        </w:tc>
      </w:tr>
      <w:tr w14:paraId="4F112A73">
        <w:tblPrEx>
          <w:tblCellMar>
            <w:top w:w="0" w:type="dxa"/>
            <w:left w:w="108" w:type="dxa"/>
            <w:bottom w:w="0" w:type="dxa"/>
            <w:right w:w="108" w:type="dxa"/>
          </w:tblCellMar>
        </w:tblPrEx>
        <w:trPr>
          <w:trHeight w:val="70" w:hRule="atLeast"/>
          <w:jc w:val="center"/>
        </w:trPr>
        <w:tc>
          <w:tcPr>
            <w:tcW w:w="420" w:type="dxa"/>
            <w:tcBorders>
              <w:top w:val="nil"/>
              <w:left w:val="single" w:color="auto" w:sz="4" w:space="0"/>
              <w:bottom w:val="single" w:color="auto" w:sz="4" w:space="0"/>
              <w:right w:val="single" w:color="auto" w:sz="4" w:space="0"/>
            </w:tcBorders>
            <w:noWrap/>
            <w:vAlign w:val="center"/>
          </w:tcPr>
          <w:p w14:paraId="628B6D2A">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6</w:t>
            </w:r>
          </w:p>
        </w:tc>
        <w:tc>
          <w:tcPr>
            <w:tcW w:w="947" w:type="dxa"/>
            <w:gridSpan w:val="2"/>
            <w:tcBorders>
              <w:top w:val="nil"/>
              <w:left w:val="nil"/>
              <w:bottom w:val="single" w:color="auto" w:sz="4" w:space="0"/>
              <w:right w:val="single" w:color="auto" w:sz="4" w:space="0"/>
            </w:tcBorders>
            <w:vAlign w:val="center"/>
          </w:tcPr>
          <w:p w14:paraId="0C282547">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2022年</w:t>
            </w:r>
          </w:p>
        </w:tc>
        <w:tc>
          <w:tcPr>
            <w:tcW w:w="5026" w:type="dxa"/>
            <w:gridSpan w:val="2"/>
            <w:tcBorders>
              <w:top w:val="nil"/>
              <w:left w:val="nil"/>
              <w:bottom w:val="single" w:color="auto" w:sz="4" w:space="0"/>
              <w:right w:val="single" w:color="auto" w:sz="4" w:space="0"/>
            </w:tcBorders>
            <w:vAlign w:val="center"/>
          </w:tcPr>
          <w:p w14:paraId="24A33E50">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皮山县藏桂乡永安新村土地整治项目</w:t>
            </w:r>
          </w:p>
        </w:tc>
        <w:tc>
          <w:tcPr>
            <w:tcW w:w="1456" w:type="dxa"/>
            <w:tcBorders>
              <w:top w:val="nil"/>
              <w:left w:val="nil"/>
              <w:bottom w:val="single" w:color="auto" w:sz="4" w:space="0"/>
              <w:right w:val="single" w:color="auto" w:sz="4" w:space="0"/>
            </w:tcBorders>
            <w:vAlign w:val="center"/>
          </w:tcPr>
          <w:p w14:paraId="20E0FE84">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nil"/>
              <w:left w:val="nil"/>
              <w:bottom w:val="single" w:color="auto" w:sz="4" w:space="0"/>
              <w:right w:val="single" w:color="auto" w:sz="4" w:space="0"/>
            </w:tcBorders>
            <w:vAlign w:val="center"/>
          </w:tcPr>
          <w:p w14:paraId="5B7CEE2F">
            <w:pPr>
              <w:widowControl/>
              <w:jc w:val="center"/>
              <w:rPr>
                <w:rFonts w:ascii="宋体" w:hAnsi="宋体" w:eastAsia="宋体" w:cs="宋体"/>
                <w:kern w:val="0"/>
                <w:sz w:val="18"/>
                <w:szCs w:val="18"/>
              </w:rPr>
            </w:pPr>
            <w:r>
              <w:rPr>
                <w:rFonts w:hint="eastAsia" w:ascii="宋体" w:hAnsi="宋体" w:eastAsia="宋体" w:cs="宋体"/>
                <w:kern w:val="0"/>
                <w:sz w:val="18"/>
                <w:szCs w:val="18"/>
              </w:rPr>
              <w:t>2598.75</w:t>
            </w:r>
          </w:p>
        </w:tc>
      </w:tr>
      <w:tr w14:paraId="5FE525A8">
        <w:tblPrEx>
          <w:tblCellMar>
            <w:top w:w="0" w:type="dxa"/>
            <w:left w:w="108" w:type="dxa"/>
            <w:bottom w:w="0" w:type="dxa"/>
            <w:right w:w="108" w:type="dxa"/>
          </w:tblCellMar>
        </w:tblPrEx>
        <w:trPr>
          <w:trHeight w:val="177" w:hRule="atLeast"/>
          <w:jc w:val="center"/>
        </w:trPr>
        <w:tc>
          <w:tcPr>
            <w:tcW w:w="420" w:type="dxa"/>
            <w:tcBorders>
              <w:top w:val="nil"/>
              <w:left w:val="single" w:color="auto" w:sz="4" w:space="0"/>
              <w:bottom w:val="single" w:color="auto" w:sz="4" w:space="0"/>
              <w:right w:val="single" w:color="auto" w:sz="4" w:space="0"/>
            </w:tcBorders>
            <w:noWrap/>
            <w:vAlign w:val="center"/>
          </w:tcPr>
          <w:p w14:paraId="18BCEF11">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7</w:t>
            </w:r>
          </w:p>
        </w:tc>
        <w:tc>
          <w:tcPr>
            <w:tcW w:w="947" w:type="dxa"/>
            <w:gridSpan w:val="2"/>
            <w:tcBorders>
              <w:top w:val="nil"/>
              <w:left w:val="nil"/>
              <w:bottom w:val="single" w:color="auto" w:sz="4" w:space="0"/>
              <w:right w:val="single" w:color="auto" w:sz="4" w:space="0"/>
            </w:tcBorders>
            <w:vAlign w:val="center"/>
          </w:tcPr>
          <w:p w14:paraId="09F740EB">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2022年</w:t>
            </w:r>
          </w:p>
        </w:tc>
        <w:tc>
          <w:tcPr>
            <w:tcW w:w="5026" w:type="dxa"/>
            <w:gridSpan w:val="2"/>
            <w:tcBorders>
              <w:top w:val="nil"/>
              <w:left w:val="nil"/>
              <w:bottom w:val="single" w:color="auto" w:sz="4" w:space="0"/>
              <w:right w:val="single" w:color="auto" w:sz="4" w:space="0"/>
            </w:tcBorders>
            <w:vAlign w:val="center"/>
          </w:tcPr>
          <w:p w14:paraId="3411E147">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皮山县固玛镇、科克铁热克镇、木奎拉乡、桑株镇2022年1万亩高标准农田建设项目</w:t>
            </w:r>
          </w:p>
        </w:tc>
        <w:tc>
          <w:tcPr>
            <w:tcW w:w="1456" w:type="dxa"/>
            <w:tcBorders>
              <w:top w:val="nil"/>
              <w:left w:val="nil"/>
              <w:bottom w:val="single" w:color="auto" w:sz="4" w:space="0"/>
              <w:right w:val="single" w:color="auto" w:sz="4" w:space="0"/>
            </w:tcBorders>
            <w:vAlign w:val="center"/>
          </w:tcPr>
          <w:p w14:paraId="0A4F88ED">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nil"/>
              <w:left w:val="nil"/>
              <w:bottom w:val="single" w:color="auto" w:sz="4" w:space="0"/>
              <w:right w:val="single" w:color="auto" w:sz="4" w:space="0"/>
            </w:tcBorders>
            <w:vAlign w:val="center"/>
          </w:tcPr>
          <w:p w14:paraId="12CA16C0">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3040</w:t>
            </w:r>
          </w:p>
        </w:tc>
      </w:tr>
      <w:tr w14:paraId="3B43D3DE">
        <w:tblPrEx>
          <w:tblCellMar>
            <w:top w:w="0" w:type="dxa"/>
            <w:left w:w="108" w:type="dxa"/>
            <w:bottom w:w="0" w:type="dxa"/>
            <w:right w:w="108" w:type="dxa"/>
          </w:tblCellMar>
        </w:tblPrEx>
        <w:trPr>
          <w:trHeight w:val="340" w:hRule="atLeast"/>
          <w:jc w:val="center"/>
        </w:trPr>
        <w:tc>
          <w:tcPr>
            <w:tcW w:w="420" w:type="dxa"/>
            <w:tcBorders>
              <w:top w:val="nil"/>
              <w:left w:val="single" w:color="auto" w:sz="4" w:space="0"/>
              <w:bottom w:val="single" w:color="auto" w:sz="4" w:space="0"/>
              <w:right w:val="single" w:color="auto" w:sz="4" w:space="0"/>
            </w:tcBorders>
            <w:noWrap/>
            <w:vAlign w:val="center"/>
          </w:tcPr>
          <w:p w14:paraId="095AB355">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8</w:t>
            </w:r>
          </w:p>
        </w:tc>
        <w:tc>
          <w:tcPr>
            <w:tcW w:w="947" w:type="dxa"/>
            <w:gridSpan w:val="2"/>
            <w:tcBorders>
              <w:top w:val="nil"/>
              <w:left w:val="nil"/>
              <w:bottom w:val="single" w:color="auto" w:sz="4" w:space="0"/>
              <w:right w:val="single" w:color="auto" w:sz="4" w:space="0"/>
            </w:tcBorders>
            <w:vAlign w:val="center"/>
          </w:tcPr>
          <w:p w14:paraId="796624F0">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2023年</w:t>
            </w:r>
          </w:p>
        </w:tc>
        <w:tc>
          <w:tcPr>
            <w:tcW w:w="5026" w:type="dxa"/>
            <w:gridSpan w:val="2"/>
            <w:tcBorders>
              <w:top w:val="nil"/>
              <w:left w:val="nil"/>
              <w:bottom w:val="single" w:color="auto" w:sz="4" w:space="0"/>
              <w:right w:val="single" w:color="auto" w:sz="4" w:space="0"/>
            </w:tcBorders>
            <w:vAlign w:val="center"/>
          </w:tcPr>
          <w:p w14:paraId="24435102">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皮山县皮西那乡2023年农田建设项目</w:t>
            </w:r>
          </w:p>
        </w:tc>
        <w:tc>
          <w:tcPr>
            <w:tcW w:w="1456" w:type="dxa"/>
            <w:tcBorders>
              <w:top w:val="nil"/>
              <w:left w:val="nil"/>
              <w:bottom w:val="single" w:color="auto" w:sz="4" w:space="0"/>
              <w:right w:val="single" w:color="auto" w:sz="4" w:space="0"/>
            </w:tcBorders>
            <w:vAlign w:val="center"/>
          </w:tcPr>
          <w:p w14:paraId="79B7EFD4">
            <w:pPr>
              <w:widowControl/>
              <w:jc w:val="center"/>
              <w:rPr>
                <w:rFonts w:ascii="宋体" w:hAnsi="宋体" w:eastAsia="宋体" w:cs="宋体"/>
                <w:kern w:val="0"/>
                <w:sz w:val="18"/>
                <w:szCs w:val="18"/>
              </w:rPr>
            </w:pPr>
            <w:r>
              <w:rPr>
                <w:rFonts w:hint="eastAsia" w:ascii="宋体" w:hAnsi="宋体" w:eastAsia="宋体" w:cs="宋体"/>
                <w:kern w:val="0"/>
                <w:sz w:val="18"/>
                <w:szCs w:val="18"/>
              </w:rPr>
              <w:t>专项资金</w:t>
            </w:r>
          </w:p>
        </w:tc>
        <w:tc>
          <w:tcPr>
            <w:tcW w:w="1097" w:type="dxa"/>
            <w:tcBorders>
              <w:top w:val="nil"/>
              <w:left w:val="nil"/>
              <w:bottom w:val="single" w:color="auto" w:sz="4" w:space="0"/>
              <w:right w:val="single" w:color="auto" w:sz="4" w:space="0"/>
            </w:tcBorders>
            <w:vAlign w:val="center"/>
          </w:tcPr>
          <w:p w14:paraId="546422BD">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1962</w:t>
            </w:r>
          </w:p>
        </w:tc>
      </w:tr>
      <w:tr w14:paraId="716B7D5F">
        <w:tblPrEx>
          <w:tblCellMar>
            <w:top w:w="0" w:type="dxa"/>
            <w:left w:w="108" w:type="dxa"/>
            <w:bottom w:w="0" w:type="dxa"/>
            <w:right w:w="108" w:type="dxa"/>
          </w:tblCellMar>
        </w:tblPrEx>
        <w:trPr>
          <w:trHeight w:val="340" w:hRule="atLeast"/>
          <w:jc w:val="center"/>
        </w:trPr>
        <w:tc>
          <w:tcPr>
            <w:tcW w:w="420" w:type="dxa"/>
            <w:tcBorders>
              <w:top w:val="nil"/>
              <w:left w:val="single" w:color="auto" w:sz="4" w:space="0"/>
              <w:bottom w:val="single" w:color="auto" w:sz="4" w:space="0"/>
              <w:right w:val="single" w:color="auto" w:sz="4" w:space="0"/>
            </w:tcBorders>
            <w:noWrap/>
            <w:vAlign w:val="center"/>
          </w:tcPr>
          <w:p w14:paraId="4A8D6DB2">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9</w:t>
            </w:r>
          </w:p>
        </w:tc>
        <w:tc>
          <w:tcPr>
            <w:tcW w:w="947" w:type="dxa"/>
            <w:gridSpan w:val="2"/>
            <w:tcBorders>
              <w:top w:val="nil"/>
              <w:left w:val="nil"/>
              <w:bottom w:val="single" w:color="auto" w:sz="4" w:space="0"/>
              <w:right w:val="single" w:color="auto" w:sz="4" w:space="0"/>
            </w:tcBorders>
            <w:vAlign w:val="center"/>
          </w:tcPr>
          <w:p w14:paraId="2F67A047">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2023年</w:t>
            </w:r>
          </w:p>
        </w:tc>
        <w:tc>
          <w:tcPr>
            <w:tcW w:w="5026" w:type="dxa"/>
            <w:gridSpan w:val="2"/>
            <w:tcBorders>
              <w:top w:val="nil"/>
              <w:left w:val="nil"/>
              <w:bottom w:val="single" w:color="auto" w:sz="4" w:space="0"/>
              <w:right w:val="single" w:color="auto" w:sz="4" w:space="0"/>
            </w:tcBorders>
            <w:vAlign w:val="center"/>
          </w:tcPr>
          <w:p w14:paraId="28A21FFB">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皮山县2023年木吉镇0.7万亩高标准农田建设项目</w:t>
            </w:r>
          </w:p>
        </w:tc>
        <w:tc>
          <w:tcPr>
            <w:tcW w:w="1456" w:type="dxa"/>
            <w:tcBorders>
              <w:top w:val="nil"/>
              <w:left w:val="nil"/>
              <w:bottom w:val="single" w:color="auto" w:sz="4" w:space="0"/>
              <w:right w:val="single" w:color="auto" w:sz="4" w:space="0"/>
            </w:tcBorders>
            <w:vAlign w:val="center"/>
          </w:tcPr>
          <w:p w14:paraId="7698C78D">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nil"/>
              <w:left w:val="nil"/>
              <w:bottom w:val="single" w:color="auto" w:sz="4" w:space="0"/>
              <w:right w:val="single" w:color="auto" w:sz="4" w:space="0"/>
            </w:tcBorders>
            <w:vAlign w:val="center"/>
          </w:tcPr>
          <w:p w14:paraId="175349B8">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3165.56</w:t>
            </w:r>
          </w:p>
        </w:tc>
      </w:tr>
      <w:tr w14:paraId="07A847C9">
        <w:tblPrEx>
          <w:tblCellMar>
            <w:top w:w="0" w:type="dxa"/>
            <w:left w:w="108" w:type="dxa"/>
            <w:bottom w:w="0" w:type="dxa"/>
            <w:right w:w="108" w:type="dxa"/>
          </w:tblCellMar>
        </w:tblPrEx>
        <w:trPr>
          <w:trHeight w:val="253"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41EF9EB1">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10</w:t>
            </w:r>
          </w:p>
        </w:tc>
        <w:tc>
          <w:tcPr>
            <w:tcW w:w="947" w:type="dxa"/>
            <w:gridSpan w:val="2"/>
            <w:tcBorders>
              <w:top w:val="single" w:color="auto" w:sz="4" w:space="0"/>
              <w:left w:val="nil"/>
              <w:bottom w:val="single" w:color="auto" w:sz="4" w:space="0"/>
              <w:right w:val="single" w:color="auto" w:sz="4" w:space="0"/>
            </w:tcBorders>
            <w:vAlign w:val="center"/>
          </w:tcPr>
          <w:p w14:paraId="55886DF9">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2023年</w:t>
            </w:r>
          </w:p>
        </w:tc>
        <w:tc>
          <w:tcPr>
            <w:tcW w:w="5026" w:type="dxa"/>
            <w:gridSpan w:val="2"/>
            <w:tcBorders>
              <w:top w:val="single" w:color="auto" w:sz="4" w:space="0"/>
              <w:left w:val="nil"/>
              <w:bottom w:val="single" w:color="auto" w:sz="4" w:space="0"/>
              <w:right w:val="single" w:color="auto" w:sz="4" w:space="0"/>
            </w:tcBorders>
            <w:vAlign w:val="center"/>
          </w:tcPr>
          <w:p w14:paraId="4BA7901B">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皮山县2023年粮食产能提升工程木奎拉乡片区田间建设项目</w:t>
            </w:r>
          </w:p>
        </w:tc>
        <w:tc>
          <w:tcPr>
            <w:tcW w:w="1456" w:type="dxa"/>
            <w:tcBorders>
              <w:top w:val="single" w:color="auto" w:sz="4" w:space="0"/>
              <w:left w:val="nil"/>
              <w:bottom w:val="single" w:color="auto" w:sz="4" w:space="0"/>
              <w:right w:val="single" w:color="auto" w:sz="4" w:space="0"/>
            </w:tcBorders>
            <w:vAlign w:val="center"/>
          </w:tcPr>
          <w:p w14:paraId="0CD391D6">
            <w:pPr>
              <w:widowControl/>
              <w:jc w:val="center"/>
              <w:rPr>
                <w:rFonts w:ascii="宋体" w:hAnsi="宋体" w:eastAsia="宋体" w:cs="宋体"/>
                <w:kern w:val="0"/>
                <w:sz w:val="18"/>
                <w:szCs w:val="18"/>
              </w:rPr>
            </w:pPr>
            <w:r>
              <w:rPr>
                <w:rFonts w:hint="eastAsia" w:ascii="宋体" w:hAnsi="宋体" w:eastAsia="宋体" w:cs="宋体"/>
                <w:kern w:val="0"/>
                <w:sz w:val="18"/>
                <w:szCs w:val="18"/>
              </w:rPr>
              <w:t>专项资金</w:t>
            </w:r>
          </w:p>
        </w:tc>
        <w:tc>
          <w:tcPr>
            <w:tcW w:w="1097" w:type="dxa"/>
            <w:tcBorders>
              <w:top w:val="single" w:color="auto" w:sz="4" w:space="0"/>
              <w:left w:val="nil"/>
              <w:bottom w:val="single" w:color="auto" w:sz="4" w:space="0"/>
              <w:right w:val="single" w:color="auto" w:sz="4" w:space="0"/>
            </w:tcBorders>
            <w:vAlign w:val="center"/>
          </w:tcPr>
          <w:p w14:paraId="13B934A4">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1987.25</w:t>
            </w:r>
          </w:p>
        </w:tc>
      </w:tr>
      <w:tr w14:paraId="61A95EB9">
        <w:tblPrEx>
          <w:tblCellMar>
            <w:top w:w="0" w:type="dxa"/>
            <w:left w:w="108" w:type="dxa"/>
            <w:bottom w:w="0" w:type="dxa"/>
            <w:right w:w="108" w:type="dxa"/>
          </w:tblCellMar>
        </w:tblPrEx>
        <w:trPr>
          <w:trHeight w:val="629"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65A954E5">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11</w:t>
            </w:r>
          </w:p>
        </w:tc>
        <w:tc>
          <w:tcPr>
            <w:tcW w:w="947" w:type="dxa"/>
            <w:gridSpan w:val="2"/>
            <w:tcBorders>
              <w:top w:val="single" w:color="auto" w:sz="4" w:space="0"/>
              <w:left w:val="nil"/>
              <w:bottom w:val="single" w:color="auto" w:sz="4" w:space="0"/>
              <w:right w:val="single" w:color="auto" w:sz="4" w:space="0"/>
            </w:tcBorders>
            <w:vAlign w:val="center"/>
          </w:tcPr>
          <w:p w14:paraId="4C078850">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2024年</w:t>
            </w:r>
          </w:p>
        </w:tc>
        <w:tc>
          <w:tcPr>
            <w:tcW w:w="5026" w:type="dxa"/>
            <w:gridSpan w:val="2"/>
            <w:tcBorders>
              <w:top w:val="single" w:color="auto" w:sz="4" w:space="0"/>
              <w:left w:val="nil"/>
              <w:bottom w:val="single" w:color="auto" w:sz="4" w:space="0"/>
              <w:right w:val="single" w:color="auto" w:sz="4" w:space="0"/>
            </w:tcBorders>
            <w:vAlign w:val="center"/>
          </w:tcPr>
          <w:p w14:paraId="63441AD4">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2024年皮山县乡村振兴提升补助项目—农产品质量安全检测中心能力提升项目</w:t>
            </w:r>
          </w:p>
        </w:tc>
        <w:tc>
          <w:tcPr>
            <w:tcW w:w="1456" w:type="dxa"/>
            <w:tcBorders>
              <w:top w:val="single" w:color="auto" w:sz="4" w:space="0"/>
              <w:left w:val="nil"/>
              <w:bottom w:val="single" w:color="auto" w:sz="4" w:space="0"/>
              <w:right w:val="single" w:color="auto" w:sz="4" w:space="0"/>
            </w:tcBorders>
            <w:vAlign w:val="center"/>
          </w:tcPr>
          <w:p w14:paraId="348F6B65">
            <w:pPr>
              <w:widowControl/>
              <w:jc w:val="center"/>
              <w:rPr>
                <w:rFonts w:ascii="宋体" w:hAnsi="宋体" w:eastAsia="宋体" w:cs="宋体"/>
                <w:kern w:val="0"/>
                <w:sz w:val="18"/>
                <w:szCs w:val="18"/>
              </w:rPr>
            </w:pPr>
            <w:r>
              <w:rPr>
                <w:rFonts w:hint="eastAsia" w:ascii="宋体" w:hAnsi="宋体" w:eastAsia="宋体" w:cs="宋体"/>
                <w:kern w:val="0"/>
                <w:sz w:val="18"/>
                <w:szCs w:val="18"/>
              </w:rPr>
              <w:t>援疆资金</w:t>
            </w:r>
          </w:p>
        </w:tc>
        <w:tc>
          <w:tcPr>
            <w:tcW w:w="1097" w:type="dxa"/>
            <w:tcBorders>
              <w:top w:val="single" w:color="auto" w:sz="4" w:space="0"/>
              <w:left w:val="nil"/>
              <w:bottom w:val="single" w:color="auto" w:sz="4" w:space="0"/>
              <w:right w:val="single" w:color="auto" w:sz="4" w:space="0"/>
            </w:tcBorders>
            <w:vAlign w:val="center"/>
          </w:tcPr>
          <w:p w14:paraId="1A8E2ECF">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400</w:t>
            </w:r>
          </w:p>
        </w:tc>
      </w:tr>
      <w:tr w14:paraId="084804B2">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6AEF42DB">
            <w:pPr>
              <w:widowControl/>
              <w:jc w:val="center"/>
              <w:rPr>
                <w:rFonts w:ascii="宋体" w:hAnsi="宋体" w:eastAsia="宋体" w:cs="宋体"/>
                <w:bCs/>
                <w:kern w:val="0"/>
                <w:sz w:val="18"/>
                <w:szCs w:val="18"/>
              </w:rPr>
            </w:pPr>
            <w:r>
              <w:rPr>
                <w:rFonts w:ascii="宋体" w:hAnsi="宋体" w:eastAsia="宋体" w:cs="宋体"/>
                <w:bCs/>
                <w:kern w:val="0"/>
                <w:sz w:val="18"/>
                <w:szCs w:val="18"/>
              </w:rPr>
              <w:t>12</w:t>
            </w:r>
          </w:p>
        </w:tc>
        <w:tc>
          <w:tcPr>
            <w:tcW w:w="947" w:type="dxa"/>
            <w:gridSpan w:val="2"/>
            <w:tcBorders>
              <w:top w:val="single" w:color="auto" w:sz="4" w:space="0"/>
              <w:left w:val="nil"/>
              <w:bottom w:val="single" w:color="auto" w:sz="4" w:space="0"/>
              <w:right w:val="single" w:color="auto" w:sz="4" w:space="0"/>
            </w:tcBorders>
            <w:vAlign w:val="center"/>
          </w:tcPr>
          <w:p w14:paraId="031D2B5C">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74E09892">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皮山县藏桂乡2024年1万亩土地整治项目（续建）</w:t>
            </w:r>
          </w:p>
        </w:tc>
        <w:tc>
          <w:tcPr>
            <w:tcW w:w="1456" w:type="dxa"/>
            <w:tcBorders>
              <w:top w:val="single" w:color="auto" w:sz="4" w:space="0"/>
              <w:left w:val="nil"/>
              <w:bottom w:val="single" w:color="auto" w:sz="4" w:space="0"/>
              <w:right w:val="single" w:color="auto" w:sz="4" w:space="0"/>
            </w:tcBorders>
            <w:vAlign w:val="center"/>
          </w:tcPr>
          <w:p w14:paraId="5840AEEF">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306EC51C">
            <w:pPr>
              <w:widowControl/>
              <w:jc w:val="center"/>
              <w:rPr>
                <w:rFonts w:ascii="宋体" w:hAnsi="宋体" w:eastAsia="宋体" w:cs="宋体"/>
                <w:bCs/>
                <w:kern w:val="0"/>
                <w:sz w:val="18"/>
                <w:szCs w:val="18"/>
              </w:rPr>
            </w:pPr>
            <w:r>
              <w:rPr>
                <w:rFonts w:ascii="宋体" w:hAnsi="宋体" w:eastAsia="宋体" w:cs="宋体"/>
                <w:bCs/>
                <w:kern w:val="0"/>
                <w:sz w:val="18"/>
                <w:szCs w:val="18"/>
              </w:rPr>
              <w:t>571.42</w:t>
            </w:r>
          </w:p>
        </w:tc>
      </w:tr>
      <w:tr w14:paraId="5BE77778">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1095B8FC">
            <w:pPr>
              <w:widowControl/>
              <w:jc w:val="center"/>
              <w:rPr>
                <w:rFonts w:ascii="宋体" w:hAnsi="宋体" w:eastAsia="宋体" w:cs="宋体"/>
                <w:bCs/>
                <w:kern w:val="0"/>
                <w:sz w:val="18"/>
                <w:szCs w:val="18"/>
              </w:rPr>
            </w:pPr>
            <w:r>
              <w:rPr>
                <w:rFonts w:ascii="宋体" w:hAnsi="宋体" w:eastAsia="宋体" w:cs="宋体"/>
                <w:bCs/>
                <w:kern w:val="0"/>
                <w:sz w:val="18"/>
                <w:szCs w:val="18"/>
              </w:rPr>
              <w:t>13</w:t>
            </w:r>
          </w:p>
        </w:tc>
        <w:tc>
          <w:tcPr>
            <w:tcW w:w="947" w:type="dxa"/>
            <w:gridSpan w:val="2"/>
            <w:tcBorders>
              <w:top w:val="single" w:color="auto" w:sz="4" w:space="0"/>
              <w:left w:val="nil"/>
              <w:bottom w:val="single" w:color="auto" w:sz="4" w:space="0"/>
              <w:right w:val="single" w:color="auto" w:sz="4" w:space="0"/>
            </w:tcBorders>
            <w:vAlign w:val="center"/>
          </w:tcPr>
          <w:p w14:paraId="62A91186">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22149BEC">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皮山县木吉镇2024年农田设施配套建设项目（续建）</w:t>
            </w:r>
          </w:p>
        </w:tc>
        <w:tc>
          <w:tcPr>
            <w:tcW w:w="1456" w:type="dxa"/>
            <w:tcBorders>
              <w:top w:val="single" w:color="auto" w:sz="4" w:space="0"/>
              <w:left w:val="nil"/>
              <w:bottom w:val="single" w:color="auto" w:sz="4" w:space="0"/>
              <w:right w:val="single" w:color="auto" w:sz="4" w:space="0"/>
            </w:tcBorders>
            <w:vAlign w:val="center"/>
          </w:tcPr>
          <w:p w14:paraId="11577CE7">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708F1A6B">
            <w:pPr>
              <w:widowControl/>
              <w:jc w:val="center"/>
              <w:rPr>
                <w:rFonts w:ascii="宋体" w:hAnsi="宋体" w:eastAsia="宋体" w:cs="宋体"/>
                <w:bCs/>
                <w:kern w:val="0"/>
                <w:sz w:val="18"/>
                <w:szCs w:val="18"/>
              </w:rPr>
            </w:pPr>
            <w:r>
              <w:rPr>
                <w:rFonts w:ascii="宋体" w:hAnsi="宋体" w:eastAsia="宋体" w:cs="宋体"/>
                <w:bCs/>
                <w:kern w:val="0"/>
                <w:sz w:val="18"/>
                <w:szCs w:val="18"/>
              </w:rPr>
              <w:t>581.61</w:t>
            </w:r>
          </w:p>
        </w:tc>
      </w:tr>
      <w:tr w14:paraId="09881455">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5FEDCEBC">
            <w:pPr>
              <w:widowControl/>
              <w:jc w:val="center"/>
              <w:rPr>
                <w:rFonts w:ascii="宋体" w:hAnsi="宋体" w:eastAsia="宋体" w:cs="宋体"/>
                <w:bCs/>
                <w:kern w:val="0"/>
                <w:sz w:val="18"/>
                <w:szCs w:val="18"/>
              </w:rPr>
            </w:pPr>
            <w:r>
              <w:rPr>
                <w:rFonts w:ascii="宋体" w:hAnsi="宋体" w:eastAsia="宋体" w:cs="宋体"/>
                <w:bCs/>
                <w:kern w:val="0"/>
                <w:sz w:val="18"/>
                <w:szCs w:val="18"/>
              </w:rPr>
              <w:t>14</w:t>
            </w:r>
          </w:p>
        </w:tc>
        <w:tc>
          <w:tcPr>
            <w:tcW w:w="947" w:type="dxa"/>
            <w:gridSpan w:val="2"/>
            <w:tcBorders>
              <w:top w:val="single" w:color="auto" w:sz="4" w:space="0"/>
              <w:left w:val="nil"/>
              <w:bottom w:val="single" w:color="auto" w:sz="4" w:space="0"/>
              <w:right w:val="single" w:color="auto" w:sz="4" w:space="0"/>
            </w:tcBorders>
            <w:vAlign w:val="center"/>
          </w:tcPr>
          <w:p w14:paraId="27CBCAF9">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5F72C9E5">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皮山县阔什塔格镇2025年道路建设项目</w:t>
            </w:r>
          </w:p>
        </w:tc>
        <w:tc>
          <w:tcPr>
            <w:tcW w:w="1456" w:type="dxa"/>
            <w:tcBorders>
              <w:top w:val="single" w:color="auto" w:sz="4" w:space="0"/>
              <w:left w:val="nil"/>
              <w:bottom w:val="single" w:color="auto" w:sz="4" w:space="0"/>
              <w:right w:val="single" w:color="auto" w:sz="4" w:space="0"/>
            </w:tcBorders>
            <w:vAlign w:val="center"/>
          </w:tcPr>
          <w:p w14:paraId="3CCA696E">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02325FCF">
            <w:pPr>
              <w:widowControl/>
              <w:jc w:val="center"/>
              <w:rPr>
                <w:rFonts w:ascii="宋体" w:hAnsi="宋体" w:eastAsia="宋体" w:cs="宋体"/>
                <w:bCs/>
                <w:kern w:val="0"/>
                <w:sz w:val="18"/>
                <w:szCs w:val="18"/>
              </w:rPr>
            </w:pPr>
            <w:r>
              <w:rPr>
                <w:rFonts w:ascii="宋体" w:hAnsi="宋体" w:eastAsia="宋体" w:cs="宋体"/>
                <w:bCs/>
                <w:kern w:val="0"/>
                <w:sz w:val="18"/>
                <w:szCs w:val="18"/>
              </w:rPr>
              <w:t>1143</w:t>
            </w:r>
          </w:p>
        </w:tc>
      </w:tr>
      <w:tr w14:paraId="02883DAC">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526EC5DE">
            <w:pPr>
              <w:widowControl/>
              <w:jc w:val="center"/>
              <w:rPr>
                <w:rFonts w:ascii="宋体" w:hAnsi="宋体" w:eastAsia="宋体" w:cs="宋体"/>
                <w:bCs/>
                <w:kern w:val="0"/>
                <w:sz w:val="18"/>
                <w:szCs w:val="18"/>
              </w:rPr>
            </w:pPr>
            <w:r>
              <w:rPr>
                <w:rFonts w:ascii="宋体" w:hAnsi="宋体" w:eastAsia="宋体" w:cs="宋体"/>
                <w:bCs/>
                <w:kern w:val="0"/>
                <w:sz w:val="18"/>
                <w:szCs w:val="18"/>
              </w:rPr>
              <w:t>15</w:t>
            </w:r>
          </w:p>
        </w:tc>
        <w:tc>
          <w:tcPr>
            <w:tcW w:w="947" w:type="dxa"/>
            <w:gridSpan w:val="2"/>
            <w:tcBorders>
              <w:top w:val="single" w:color="auto" w:sz="4" w:space="0"/>
              <w:left w:val="nil"/>
              <w:bottom w:val="single" w:color="auto" w:sz="4" w:space="0"/>
              <w:right w:val="single" w:color="auto" w:sz="4" w:space="0"/>
            </w:tcBorders>
            <w:vAlign w:val="center"/>
          </w:tcPr>
          <w:p w14:paraId="241AC493">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71561381">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皮山县皮山河流域联合供水工程（二期）（续建）</w:t>
            </w:r>
          </w:p>
        </w:tc>
        <w:tc>
          <w:tcPr>
            <w:tcW w:w="1456" w:type="dxa"/>
            <w:tcBorders>
              <w:top w:val="single" w:color="auto" w:sz="4" w:space="0"/>
              <w:left w:val="nil"/>
              <w:bottom w:val="single" w:color="auto" w:sz="4" w:space="0"/>
              <w:right w:val="single" w:color="auto" w:sz="4" w:space="0"/>
            </w:tcBorders>
            <w:vAlign w:val="center"/>
          </w:tcPr>
          <w:p w14:paraId="15619469">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72CAFE75">
            <w:pPr>
              <w:widowControl/>
              <w:jc w:val="center"/>
              <w:rPr>
                <w:rFonts w:ascii="宋体" w:hAnsi="宋体" w:eastAsia="宋体" w:cs="宋体"/>
                <w:bCs/>
                <w:kern w:val="0"/>
                <w:sz w:val="18"/>
                <w:szCs w:val="18"/>
              </w:rPr>
            </w:pPr>
            <w:r>
              <w:rPr>
                <w:rFonts w:ascii="宋体" w:hAnsi="宋体" w:eastAsia="宋体" w:cs="宋体"/>
                <w:bCs/>
                <w:kern w:val="0"/>
                <w:sz w:val="18"/>
                <w:szCs w:val="18"/>
              </w:rPr>
              <w:t>1800</w:t>
            </w:r>
          </w:p>
        </w:tc>
      </w:tr>
      <w:tr w14:paraId="3F44395C">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2F5026DA">
            <w:pPr>
              <w:widowControl/>
              <w:jc w:val="center"/>
              <w:rPr>
                <w:rFonts w:ascii="宋体" w:hAnsi="宋体" w:eastAsia="宋体" w:cs="宋体"/>
                <w:bCs/>
                <w:kern w:val="0"/>
                <w:sz w:val="18"/>
                <w:szCs w:val="18"/>
              </w:rPr>
            </w:pPr>
            <w:r>
              <w:rPr>
                <w:rFonts w:ascii="宋体" w:hAnsi="宋体" w:eastAsia="宋体" w:cs="宋体"/>
                <w:bCs/>
                <w:kern w:val="0"/>
                <w:sz w:val="18"/>
                <w:szCs w:val="18"/>
              </w:rPr>
              <w:t>16</w:t>
            </w:r>
          </w:p>
        </w:tc>
        <w:tc>
          <w:tcPr>
            <w:tcW w:w="947" w:type="dxa"/>
            <w:gridSpan w:val="2"/>
            <w:tcBorders>
              <w:top w:val="single" w:color="auto" w:sz="4" w:space="0"/>
              <w:left w:val="nil"/>
              <w:bottom w:val="single" w:color="auto" w:sz="4" w:space="0"/>
              <w:right w:val="single" w:color="auto" w:sz="4" w:space="0"/>
            </w:tcBorders>
            <w:vAlign w:val="center"/>
          </w:tcPr>
          <w:p w14:paraId="450F840E">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25421D38">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皮山县克里阳乡2024年小型农田水利建设项目（续建）</w:t>
            </w:r>
          </w:p>
        </w:tc>
        <w:tc>
          <w:tcPr>
            <w:tcW w:w="1456" w:type="dxa"/>
            <w:tcBorders>
              <w:top w:val="single" w:color="auto" w:sz="4" w:space="0"/>
              <w:left w:val="nil"/>
              <w:bottom w:val="single" w:color="auto" w:sz="4" w:space="0"/>
              <w:right w:val="single" w:color="auto" w:sz="4" w:space="0"/>
            </w:tcBorders>
            <w:vAlign w:val="center"/>
          </w:tcPr>
          <w:p w14:paraId="1C82BF11">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47BDACC9">
            <w:pPr>
              <w:widowControl/>
              <w:jc w:val="center"/>
              <w:rPr>
                <w:rFonts w:ascii="宋体" w:hAnsi="宋体" w:eastAsia="宋体" w:cs="宋体"/>
                <w:bCs/>
                <w:kern w:val="0"/>
                <w:sz w:val="18"/>
                <w:szCs w:val="18"/>
              </w:rPr>
            </w:pPr>
            <w:r>
              <w:rPr>
                <w:rFonts w:ascii="宋体" w:hAnsi="宋体" w:eastAsia="宋体" w:cs="宋体"/>
                <w:bCs/>
                <w:kern w:val="0"/>
                <w:sz w:val="18"/>
                <w:szCs w:val="18"/>
              </w:rPr>
              <w:t>555.63</w:t>
            </w:r>
          </w:p>
        </w:tc>
      </w:tr>
      <w:tr w14:paraId="22DEA8DE">
        <w:tblPrEx>
          <w:tblCellMar>
            <w:top w:w="0" w:type="dxa"/>
            <w:left w:w="108" w:type="dxa"/>
            <w:bottom w:w="0" w:type="dxa"/>
            <w:right w:w="108" w:type="dxa"/>
          </w:tblCellMar>
        </w:tblPrEx>
        <w:trPr>
          <w:trHeight w:val="629"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7F04EDBC">
            <w:pPr>
              <w:widowControl/>
              <w:jc w:val="center"/>
              <w:rPr>
                <w:rFonts w:ascii="宋体" w:hAnsi="宋体" w:eastAsia="宋体" w:cs="宋体"/>
                <w:bCs/>
                <w:kern w:val="0"/>
                <w:sz w:val="18"/>
                <w:szCs w:val="18"/>
              </w:rPr>
            </w:pPr>
            <w:r>
              <w:rPr>
                <w:rFonts w:ascii="宋体" w:hAnsi="宋体" w:eastAsia="宋体" w:cs="宋体"/>
                <w:bCs/>
                <w:kern w:val="0"/>
                <w:sz w:val="18"/>
                <w:szCs w:val="18"/>
              </w:rPr>
              <w:t>17</w:t>
            </w:r>
          </w:p>
        </w:tc>
        <w:tc>
          <w:tcPr>
            <w:tcW w:w="947" w:type="dxa"/>
            <w:gridSpan w:val="2"/>
            <w:tcBorders>
              <w:top w:val="single" w:color="auto" w:sz="4" w:space="0"/>
              <w:left w:val="nil"/>
              <w:bottom w:val="single" w:color="auto" w:sz="4" w:space="0"/>
              <w:right w:val="single" w:color="auto" w:sz="4" w:space="0"/>
            </w:tcBorders>
            <w:vAlign w:val="center"/>
          </w:tcPr>
          <w:p w14:paraId="7C046A85">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3259E94B">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皮山县2025年纺织服装标准化厂房建设项目</w:t>
            </w:r>
          </w:p>
        </w:tc>
        <w:tc>
          <w:tcPr>
            <w:tcW w:w="1456" w:type="dxa"/>
            <w:tcBorders>
              <w:top w:val="single" w:color="auto" w:sz="4" w:space="0"/>
              <w:left w:val="nil"/>
              <w:bottom w:val="single" w:color="auto" w:sz="4" w:space="0"/>
              <w:right w:val="single" w:color="auto" w:sz="4" w:space="0"/>
            </w:tcBorders>
            <w:vAlign w:val="center"/>
          </w:tcPr>
          <w:p w14:paraId="00112EF4">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150019BA">
            <w:pPr>
              <w:widowControl/>
              <w:jc w:val="center"/>
              <w:rPr>
                <w:rFonts w:ascii="宋体" w:hAnsi="宋体" w:eastAsia="宋体" w:cs="宋体"/>
                <w:bCs/>
                <w:kern w:val="0"/>
                <w:sz w:val="18"/>
                <w:szCs w:val="18"/>
              </w:rPr>
            </w:pPr>
            <w:r>
              <w:rPr>
                <w:rFonts w:ascii="宋体" w:hAnsi="宋体" w:eastAsia="宋体" w:cs="宋体"/>
                <w:bCs/>
                <w:kern w:val="0"/>
                <w:sz w:val="18"/>
                <w:szCs w:val="18"/>
              </w:rPr>
              <w:t>4394</w:t>
            </w:r>
          </w:p>
        </w:tc>
      </w:tr>
      <w:tr w14:paraId="1DF2EA08">
        <w:tblPrEx>
          <w:tblCellMar>
            <w:top w:w="0" w:type="dxa"/>
            <w:left w:w="108" w:type="dxa"/>
            <w:bottom w:w="0" w:type="dxa"/>
            <w:right w:w="108" w:type="dxa"/>
          </w:tblCellMar>
        </w:tblPrEx>
        <w:trPr>
          <w:trHeight w:val="629"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1A05BDCD">
            <w:pPr>
              <w:widowControl/>
              <w:jc w:val="center"/>
              <w:rPr>
                <w:rFonts w:ascii="宋体" w:hAnsi="宋体" w:eastAsia="宋体" w:cs="宋体"/>
                <w:bCs/>
                <w:kern w:val="0"/>
                <w:sz w:val="18"/>
                <w:szCs w:val="18"/>
              </w:rPr>
            </w:pPr>
            <w:r>
              <w:rPr>
                <w:rFonts w:ascii="宋体" w:hAnsi="宋体" w:eastAsia="宋体" w:cs="宋体"/>
                <w:bCs/>
                <w:kern w:val="0"/>
                <w:sz w:val="18"/>
                <w:szCs w:val="18"/>
              </w:rPr>
              <w:t>18</w:t>
            </w:r>
          </w:p>
        </w:tc>
        <w:tc>
          <w:tcPr>
            <w:tcW w:w="947" w:type="dxa"/>
            <w:gridSpan w:val="2"/>
            <w:tcBorders>
              <w:top w:val="single" w:color="auto" w:sz="4" w:space="0"/>
              <w:left w:val="nil"/>
              <w:bottom w:val="single" w:color="auto" w:sz="4" w:space="0"/>
              <w:right w:val="single" w:color="auto" w:sz="4" w:space="0"/>
            </w:tcBorders>
            <w:vAlign w:val="center"/>
          </w:tcPr>
          <w:p w14:paraId="56B22750">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14232837">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皮山县阔什塔格镇-垴阿巴提塔吉克民族乡道路提升改造项目</w:t>
            </w:r>
          </w:p>
        </w:tc>
        <w:tc>
          <w:tcPr>
            <w:tcW w:w="1456" w:type="dxa"/>
            <w:tcBorders>
              <w:top w:val="single" w:color="auto" w:sz="4" w:space="0"/>
              <w:left w:val="nil"/>
              <w:bottom w:val="single" w:color="auto" w:sz="4" w:space="0"/>
              <w:right w:val="single" w:color="auto" w:sz="4" w:space="0"/>
            </w:tcBorders>
            <w:vAlign w:val="center"/>
          </w:tcPr>
          <w:p w14:paraId="6DFC7768">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2061E105">
            <w:pPr>
              <w:widowControl/>
              <w:jc w:val="center"/>
              <w:rPr>
                <w:rFonts w:ascii="宋体" w:hAnsi="宋体" w:eastAsia="宋体" w:cs="宋体"/>
                <w:bCs/>
                <w:kern w:val="0"/>
                <w:sz w:val="18"/>
                <w:szCs w:val="18"/>
              </w:rPr>
            </w:pPr>
            <w:r>
              <w:rPr>
                <w:rFonts w:ascii="宋体" w:hAnsi="宋体" w:eastAsia="宋体" w:cs="宋体"/>
                <w:bCs/>
                <w:kern w:val="0"/>
                <w:sz w:val="18"/>
                <w:szCs w:val="18"/>
              </w:rPr>
              <w:t>1000</w:t>
            </w:r>
          </w:p>
        </w:tc>
      </w:tr>
      <w:tr w14:paraId="0D562D27">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4D5FBA62">
            <w:pPr>
              <w:widowControl/>
              <w:jc w:val="center"/>
              <w:rPr>
                <w:rFonts w:ascii="宋体" w:hAnsi="宋体" w:eastAsia="宋体" w:cs="宋体"/>
                <w:bCs/>
                <w:kern w:val="0"/>
                <w:sz w:val="18"/>
                <w:szCs w:val="18"/>
              </w:rPr>
            </w:pPr>
            <w:r>
              <w:rPr>
                <w:rFonts w:ascii="宋体" w:hAnsi="宋体" w:eastAsia="宋体" w:cs="宋体"/>
                <w:bCs/>
                <w:kern w:val="0"/>
                <w:sz w:val="18"/>
                <w:szCs w:val="18"/>
              </w:rPr>
              <w:t>19</w:t>
            </w:r>
          </w:p>
        </w:tc>
        <w:tc>
          <w:tcPr>
            <w:tcW w:w="947" w:type="dxa"/>
            <w:gridSpan w:val="2"/>
            <w:tcBorders>
              <w:top w:val="single" w:color="auto" w:sz="4" w:space="0"/>
              <w:left w:val="nil"/>
              <w:bottom w:val="single" w:color="auto" w:sz="4" w:space="0"/>
              <w:right w:val="single" w:color="auto" w:sz="4" w:space="0"/>
            </w:tcBorders>
            <w:vAlign w:val="center"/>
          </w:tcPr>
          <w:p w14:paraId="740E3E97">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77E57B0F">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皮山县藏桂乡2025年生态修复基础设施配套建设项目</w:t>
            </w:r>
          </w:p>
        </w:tc>
        <w:tc>
          <w:tcPr>
            <w:tcW w:w="1456" w:type="dxa"/>
            <w:tcBorders>
              <w:top w:val="single" w:color="auto" w:sz="4" w:space="0"/>
              <w:left w:val="nil"/>
              <w:bottom w:val="single" w:color="auto" w:sz="4" w:space="0"/>
              <w:right w:val="single" w:color="auto" w:sz="4" w:space="0"/>
            </w:tcBorders>
            <w:vAlign w:val="center"/>
          </w:tcPr>
          <w:p w14:paraId="76930263">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731778A4">
            <w:pPr>
              <w:widowControl/>
              <w:jc w:val="center"/>
              <w:rPr>
                <w:rFonts w:ascii="宋体" w:hAnsi="宋体" w:eastAsia="宋体" w:cs="宋体"/>
                <w:bCs/>
                <w:kern w:val="0"/>
                <w:sz w:val="18"/>
                <w:szCs w:val="18"/>
              </w:rPr>
            </w:pPr>
            <w:r>
              <w:rPr>
                <w:rFonts w:ascii="宋体" w:hAnsi="宋体" w:eastAsia="宋体" w:cs="宋体"/>
                <w:bCs/>
                <w:kern w:val="0"/>
                <w:sz w:val="18"/>
                <w:szCs w:val="18"/>
              </w:rPr>
              <w:t>600</w:t>
            </w:r>
          </w:p>
        </w:tc>
      </w:tr>
      <w:tr w14:paraId="16B6592E">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0896D73A">
            <w:pPr>
              <w:widowControl/>
              <w:jc w:val="center"/>
              <w:rPr>
                <w:rFonts w:ascii="宋体" w:hAnsi="宋体" w:eastAsia="宋体" w:cs="宋体"/>
                <w:bCs/>
                <w:kern w:val="0"/>
                <w:sz w:val="18"/>
                <w:szCs w:val="18"/>
              </w:rPr>
            </w:pPr>
            <w:r>
              <w:rPr>
                <w:rFonts w:ascii="宋体" w:hAnsi="宋体" w:eastAsia="宋体" w:cs="宋体"/>
                <w:bCs/>
                <w:kern w:val="0"/>
                <w:sz w:val="18"/>
                <w:szCs w:val="18"/>
              </w:rPr>
              <w:t>20</w:t>
            </w:r>
          </w:p>
        </w:tc>
        <w:tc>
          <w:tcPr>
            <w:tcW w:w="947" w:type="dxa"/>
            <w:gridSpan w:val="2"/>
            <w:tcBorders>
              <w:top w:val="single" w:color="auto" w:sz="4" w:space="0"/>
              <w:left w:val="nil"/>
              <w:bottom w:val="single" w:color="auto" w:sz="4" w:space="0"/>
              <w:right w:val="single" w:color="auto" w:sz="4" w:space="0"/>
            </w:tcBorders>
            <w:vAlign w:val="center"/>
          </w:tcPr>
          <w:p w14:paraId="27CD360B">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0BE83CD5">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皮山县乔达乡2025年生态修复基础设施配套建设项目</w:t>
            </w:r>
          </w:p>
        </w:tc>
        <w:tc>
          <w:tcPr>
            <w:tcW w:w="1456" w:type="dxa"/>
            <w:tcBorders>
              <w:top w:val="single" w:color="auto" w:sz="4" w:space="0"/>
              <w:left w:val="nil"/>
              <w:bottom w:val="single" w:color="auto" w:sz="4" w:space="0"/>
              <w:right w:val="single" w:color="auto" w:sz="4" w:space="0"/>
            </w:tcBorders>
            <w:vAlign w:val="center"/>
          </w:tcPr>
          <w:p w14:paraId="2D4B589E">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0CF6CDBF">
            <w:pPr>
              <w:widowControl/>
              <w:jc w:val="center"/>
              <w:rPr>
                <w:rFonts w:ascii="宋体" w:hAnsi="宋体" w:eastAsia="宋体" w:cs="宋体"/>
                <w:bCs/>
                <w:kern w:val="0"/>
                <w:sz w:val="18"/>
                <w:szCs w:val="18"/>
              </w:rPr>
            </w:pPr>
            <w:r>
              <w:rPr>
                <w:rFonts w:ascii="宋体" w:hAnsi="宋体" w:eastAsia="宋体" w:cs="宋体"/>
                <w:bCs/>
                <w:kern w:val="0"/>
                <w:sz w:val="18"/>
                <w:szCs w:val="18"/>
              </w:rPr>
              <w:t>450</w:t>
            </w:r>
          </w:p>
        </w:tc>
      </w:tr>
      <w:tr w14:paraId="4A6E9E2B">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243ACB6D">
            <w:pPr>
              <w:widowControl/>
              <w:jc w:val="center"/>
              <w:rPr>
                <w:rFonts w:ascii="宋体" w:hAnsi="宋体" w:eastAsia="宋体" w:cs="宋体"/>
                <w:bCs/>
                <w:kern w:val="0"/>
                <w:sz w:val="18"/>
                <w:szCs w:val="18"/>
              </w:rPr>
            </w:pPr>
            <w:r>
              <w:rPr>
                <w:rFonts w:ascii="宋体" w:hAnsi="宋体" w:eastAsia="宋体" w:cs="宋体"/>
                <w:bCs/>
                <w:kern w:val="0"/>
                <w:sz w:val="18"/>
                <w:szCs w:val="18"/>
              </w:rPr>
              <w:t>21</w:t>
            </w:r>
          </w:p>
        </w:tc>
        <w:tc>
          <w:tcPr>
            <w:tcW w:w="947" w:type="dxa"/>
            <w:gridSpan w:val="2"/>
            <w:tcBorders>
              <w:top w:val="single" w:color="auto" w:sz="4" w:space="0"/>
              <w:left w:val="nil"/>
              <w:bottom w:val="single" w:color="auto" w:sz="4" w:space="0"/>
              <w:right w:val="single" w:color="auto" w:sz="4" w:space="0"/>
            </w:tcBorders>
            <w:vAlign w:val="center"/>
          </w:tcPr>
          <w:p w14:paraId="19B6226C">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25AE45B9">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皮山县乔达乡2025年农田设施配套建设项目</w:t>
            </w:r>
          </w:p>
        </w:tc>
        <w:tc>
          <w:tcPr>
            <w:tcW w:w="1456" w:type="dxa"/>
            <w:tcBorders>
              <w:top w:val="single" w:color="auto" w:sz="4" w:space="0"/>
              <w:left w:val="nil"/>
              <w:bottom w:val="single" w:color="auto" w:sz="4" w:space="0"/>
              <w:right w:val="single" w:color="auto" w:sz="4" w:space="0"/>
            </w:tcBorders>
            <w:vAlign w:val="center"/>
          </w:tcPr>
          <w:p w14:paraId="7ED8CDE3">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138368D1">
            <w:pPr>
              <w:widowControl/>
              <w:jc w:val="center"/>
              <w:rPr>
                <w:rFonts w:ascii="宋体" w:hAnsi="宋体" w:eastAsia="宋体" w:cs="宋体"/>
                <w:bCs/>
                <w:kern w:val="0"/>
                <w:sz w:val="18"/>
                <w:szCs w:val="18"/>
              </w:rPr>
            </w:pPr>
            <w:r>
              <w:rPr>
                <w:rFonts w:ascii="宋体" w:hAnsi="宋体" w:eastAsia="宋体" w:cs="宋体"/>
                <w:bCs/>
                <w:kern w:val="0"/>
                <w:sz w:val="18"/>
                <w:szCs w:val="18"/>
              </w:rPr>
              <w:t>1100</w:t>
            </w:r>
          </w:p>
        </w:tc>
      </w:tr>
      <w:tr w14:paraId="45C235C6">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2AEC98A9">
            <w:pPr>
              <w:widowControl/>
              <w:jc w:val="center"/>
              <w:rPr>
                <w:rFonts w:ascii="宋体" w:hAnsi="宋体" w:eastAsia="宋体" w:cs="宋体"/>
                <w:bCs/>
                <w:kern w:val="0"/>
                <w:sz w:val="18"/>
                <w:szCs w:val="18"/>
              </w:rPr>
            </w:pPr>
            <w:r>
              <w:rPr>
                <w:rFonts w:ascii="宋体" w:hAnsi="宋体" w:eastAsia="宋体" w:cs="宋体"/>
                <w:bCs/>
                <w:kern w:val="0"/>
                <w:sz w:val="18"/>
                <w:szCs w:val="18"/>
              </w:rPr>
              <w:t>22</w:t>
            </w:r>
          </w:p>
        </w:tc>
        <w:tc>
          <w:tcPr>
            <w:tcW w:w="947" w:type="dxa"/>
            <w:gridSpan w:val="2"/>
            <w:tcBorders>
              <w:top w:val="single" w:color="auto" w:sz="4" w:space="0"/>
              <w:left w:val="nil"/>
              <w:bottom w:val="single" w:color="auto" w:sz="4" w:space="0"/>
              <w:right w:val="single" w:color="auto" w:sz="4" w:space="0"/>
            </w:tcBorders>
            <w:vAlign w:val="center"/>
          </w:tcPr>
          <w:p w14:paraId="4858E891">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6D01B534">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皮山县藏桂乡2025年1万亩土地整治项目</w:t>
            </w:r>
          </w:p>
        </w:tc>
        <w:tc>
          <w:tcPr>
            <w:tcW w:w="1456" w:type="dxa"/>
            <w:tcBorders>
              <w:top w:val="single" w:color="auto" w:sz="4" w:space="0"/>
              <w:left w:val="nil"/>
              <w:bottom w:val="single" w:color="auto" w:sz="4" w:space="0"/>
              <w:right w:val="single" w:color="auto" w:sz="4" w:space="0"/>
            </w:tcBorders>
            <w:vAlign w:val="center"/>
          </w:tcPr>
          <w:p w14:paraId="66C1B3B2">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06829F1A">
            <w:pPr>
              <w:widowControl/>
              <w:jc w:val="center"/>
              <w:rPr>
                <w:rFonts w:ascii="宋体" w:hAnsi="宋体" w:eastAsia="宋体" w:cs="宋体"/>
                <w:bCs/>
                <w:kern w:val="0"/>
                <w:sz w:val="18"/>
                <w:szCs w:val="18"/>
              </w:rPr>
            </w:pPr>
            <w:r>
              <w:rPr>
                <w:rFonts w:ascii="宋体" w:hAnsi="宋体" w:eastAsia="宋体" w:cs="宋体"/>
                <w:bCs/>
                <w:kern w:val="0"/>
                <w:sz w:val="18"/>
                <w:szCs w:val="18"/>
              </w:rPr>
              <w:t>650</w:t>
            </w:r>
          </w:p>
        </w:tc>
      </w:tr>
      <w:tr w14:paraId="18543691">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2DAD20F8">
            <w:pPr>
              <w:widowControl/>
              <w:jc w:val="center"/>
              <w:rPr>
                <w:rFonts w:ascii="宋体" w:hAnsi="宋体" w:eastAsia="宋体" w:cs="宋体"/>
                <w:bCs/>
                <w:kern w:val="0"/>
                <w:sz w:val="18"/>
                <w:szCs w:val="18"/>
              </w:rPr>
            </w:pPr>
            <w:r>
              <w:rPr>
                <w:rFonts w:ascii="宋体" w:hAnsi="宋体" w:eastAsia="宋体" w:cs="宋体"/>
                <w:bCs/>
                <w:kern w:val="0"/>
                <w:sz w:val="18"/>
                <w:szCs w:val="18"/>
              </w:rPr>
              <w:t>23</w:t>
            </w:r>
          </w:p>
        </w:tc>
        <w:tc>
          <w:tcPr>
            <w:tcW w:w="947" w:type="dxa"/>
            <w:gridSpan w:val="2"/>
            <w:tcBorders>
              <w:top w:val="single" w:color="auto" w:sz="4" w:space="0"/>
              <w:left w:val="nil"/>
              <w:bottom w:val="single" w:color="auto" w:sz="4" w:space="0"/>
              <w:right w:val="single" w:color="auto" w:sz="4" w:space="0"/>
            </w:tcBorders>
            <w:vAlign w:val="center"/>
          </w:tcPr>
          <w:p w14:paraId="2E0691E2">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022E3701">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皮山县藏桂乡2025年农田设施配套建设项目</w:t>
            </w:r>
          </w:p>
        </w:tc>
        <w:tc>
          <w:tcPr>
            <w:tcW w:w="1456" w:type="dxa"/>
            <w:tcBorders>
              <w:top w:val="single" w:color="auto" w:sz="4" w:space="0"/>
              <w:left w:val="nil"/>
              <w:bottom w:val="single" w:color="auto" w:sz="4" w:space="0"/>
              <w:right w:val="single" w:color="auto" w:sz="4" w:space="0"/>
            </w:tcBorders>
            <w:vAlign w:val="center"/>
          </w:tcPr>
          <w:p w14:paraId="11E990EE">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4D0E81A6">
            <w:pPr>
              <w:widowControl/>
              <w:jc w:val="center"/>
              <w:rPr>
                <w:rFonts w:ascii="宋体" w:hAnsi="宋体" w:eastAsia="宋体" w:cs="宋体"/>
                <w:bCs/>
                <w:kern w:val="0"/>
                <w:sz w:val="18"/>
                <w:szCs w:val="18"/>
              </w:rPr>
            </w:pPr>
            <w:r>
              <w:rPr>
                <w:rFonts w:ascii="宋体" w:hAnsi="宋体" w:eastAsia="宋体" w:cs="宋体"/>
                <w:bCs/>
                <w:kern w:val="0"/>
                <w:sz w:val="18"/>
                <w:szCs w:val="18"/>
              </w:rPr>
              <w:t>2190</w:t>
            </w:r>
          </w:p>
        </w:tc>
      </w:tr>
      <w:tr w14:paraId="74F1D1DC">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0F7B347B">
            <w:pPr>
              <w:widowControl/>
              <w:jc w:val="center"/>
              <w:rPr>
                <w:rFonts w:ascii="宋体" w:hAnsi="宋体" w:eastAsia="宋体" w:cs="宋体"/>
                <w:bCs/>
                <w:kern w:val="0"/>
                <w:sz w:val="18"/>
                <w:szCs w:val="18"/>
              </w:rPr>
            </w:pPr>
            <w:r>
              <w:rPr>
                <w:rFonts w:ascii="宋体" w:hAnsi="宋体" w:eastAsia="宋体" w:cs="宋体"/>
                <w:bCs/>
                <w:kern w:val="0"/>
                <w:sz w:val="18"/>
                <w:szCs w:val="18"/>
              </w:rPr>
              <w:t>24</w:t>
            </w:r>
          </w:p>
        </w:tc>
        <w:tc>
          <w:tcPr>
            <w:tcW w:w="947" w:type="dxa"/>
            <w:gridSpan w:val="2"/>
            <w:tcBorders>
              <w:top w:val="single" w:color="auto" w:sz="4" w:space="0"/>
              <w:left w:val="nil"/>
              <w:bottom w:val="single" w:color="auto" w:sz="4" w:space="0"/>
              <w:right w:val="single" w:color="auto" w:sz="4" w:space="0"/>
            </w:tcBorders>
            <w:vAlign w:val="center"/>
          </w:tcPr>
          <w:p w14:paraId="012DEE39">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1BA10F94">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皮山县乔达乡2025年土地碎片化治理项目</w:t>
            </w:r>
          </w:p>
        </w:tc>
        <w:tc>
          <w:tcPr>
            <w:tcW w:w="1456" w:type="dxa"/>
            <w:tcBorders>
              <w:top w:val="single" w:color="auto" w:sz="4" w:space="0"/>
              <w:left w:val="nil"/>
              <w:bottom w:val="single" w:color="auto" w:sz="4" w:space="0"/>
              <w:right w:val="single" w:color="auto" w:sz="4" w:space="0"/>
            </w:tcBorders>
            <w:vAlign w:val="center"/>
          </w:tcPr>
          <w:p w14:paraId="6FD9732F">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43C0EB14">
            <w:pPr>
              <w:widowControl/>
              <w:jc w:val="center"/>
              <w:rPr>
                <w:rFonts w:ascii="宋体" w:hAnsi="宋体" w:eastAsia="宋体" w:cs="宋体"/>
                <w:bCs/>
                <w:kern w:val="0"/>
                <w:sz w:val="18"/>
                <w:szCs w:val="18"/>
              </w:rPr>
            </w:pPr>
            <w:r>
              <w:rPr>
                <w:rFonts w:ascii="宋体" w:hAnsi="宋体" w:eastAsia="宋体" w:cs="宋体"/>
                <w:bCs/>
                <w:kern w:val="0"/>
                <w:sz w:val="18"/>
                <w:szCs w:val="18"/>
              </w:rPr>
              <w:t>230</w:t>
            </w:r>
          </w:p>
        </w:tc>
      </w:tr>
      <w:tr w14:paraId="2B8E6F31">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510238B0">
            <w:pPr>
              <w:widowControl/>
              <w:jc w:val="center"/>
              <w:rPr>
                <w:rFonts w:ascii="宋体" w:hAnsi="宋体" w:eastAsia="宋体" w:cs="宋体"/>
                <w:bCs/>
                <w:kern w:val="0"/>
                <w:sz w:val="18"/>
                <w:szCs w:val="18"/>
              </w:rPr>
            </w:pPr>
            <w:r>
              <w:rPr>
                <w:rFonts w:ascii="宋体" w:hAnsi="宋体" w:eastAsia="宋体" w:cs="宋体"/>
                <w:bCs/>
                <w:kern w:val="0"/>
                <w:sz w:val="18"/>
                <w:szCs w:val="18"/>
              </w:rPr>
              <w:t>25</w:t>
            </w:r>
          </w:p>
        </w:tc>
        <w:tc>
          <w:tcPr>
            <w:tcW w:w="947" w:type="dxa"/>
            <w:gridSpan w:val="2"/>
            <w:tcBorders>
              <w:top w:val="single" w:color="auto" w:sz="4" w:space="0"/>
              <w:left w:val="nil"/>
              <w:bottom w:val="single" w:color="auto" w:sz="4" w:space="0"/>
              <w:right w:val="single" w:color="auto" w:sz="4" w:space="0"/>
            </w:tcBorders>
            <w:vAlign w:val="center"/>
          </w:tcPr>
          <w:p w14:paraId="550F5252">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658A4C18">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皮山县巴什兰干乡2025年土地碎片化治理项目</w:t>
            </w:r>
          </w:p>
        </w:tc>
        <w:tc>
          <w:tcPr>
            <w:tcW w:w="1456" w:type="dxa"/>
            <w:tcBorders>
              <w:top w:val="single" w:color="auto" w:sz="4" w:space="0"/>
              <w:left w:val="nil"/>
              <w:bottom w:val="single" w:color="auto" w:sz="4" w:space="0"/>
              <w:right w:val="single" w:color="auto" w:sz="4" w:space="0"/>
            </w:tcBorders>
            <w:vAlign w:val="center"/>
          </w:tcPr>
          <w:p w14:paraId="555095B4">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13D83A8B">
            <w:pPr>
              <w:widowControl/>
              <w:jc w:val="center"/>
              <w:rPr>
                <w:rFonts w:ascii="宋体" w:hAnsi="宋体" w:eastAsia="宋体" w:cs="宋体"/>
                <w:bCs/>
                <w:kern w:val="0"/>
                <w:sz w:val="18"/>
                <w:szCs w:val="18"/>
              </w:rPr>
            </w:pPr>
            <w:r>
              <w:rPr>
                <w:rFonts w:ascii="宋体" w:hAnsi="宋体" w:eastAsia="宋体" w:cs="宋体"/>
                <w:bCs/>
                <w:kern w:val="0"/>
                <w:sz w:val="18"/>
                <w:szCs w:val="18"/>
              </w:rPr>
              <w:t>255</w:t>
            </w:r>
          </w:p>
        </w:tc>
      </w:tr>
      <w:tr w14:paraId="76E04BA5">
        <w:tblPrEx>
          <w:tblCellMar>
            <w:top w:w="0" w:type="dxa"/>
            <w:left w:w="108" w:type="dxa"/>
            <w:bottom w:w="0" w:type="dxa"/>
            <w:right w:w="108" w:type="dxa"/>
          </w:tblCellMar>
        </w:tblPrEx>
        <w:trPr>
          <w:trHeight w:val="629"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5250EFEC">
            <w:pPr>
              <w:widowControl/>
              <w:jc w:val="center"/>
              <w:rPr>
                <w:rFonts w:ascii="宋体" w:hAnsi="宋体" w:eastAsia="宋体" w:cs="宋体"/>
                <w:bCs/>
                <w:kern w:val="0"/>
                <w:sz w:val="18"/>
                <w:szCs w:val="18"/>
              </w:rPr>
            </w:pPr>
            <w:r>
              <w:rPr>
                <w:rFonts w:ascii="宋体" w:hAnsi="宋体" w:eastAsia="宋体" w:cs="宋体"/>
                <w:bCs/>
                <w:kern w:val="0"/>
                <w:sz w:val="18"/>
                <w:szCs w:val="18"/>
              </w:rPr>
              <w:t>26</w:t>
            </w:r>
          </w:p>
        </w:tc>
        <w:tc>
          <w:tcPr>
            <w:tcW w:w="947" w:type="dxa"/>
            <w:gridSpan w:val="2"/>
            <w:tcBorders>
              <w:top w:val="single" w:color="auto" w:sz="4" w:space="0"/>
              <w:left w:val="nil"/>
              <w:bottom w:val="single" w:color="auto" w:sz="4" w:space="0"/>
              <w:right w:val="single" w:color="auto" w:sz="4" w:space="0"/>
            </w:tcBorders>
            <w:vAlign w:val="center"/>
          </w:tcPr>
          <w:p w14:paraId="3A752C26">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15A6AB8A">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皮山县乡村振兴发展壮大村集体经济建设项目（藏桂乡冷库）</w:t>
            </w:r>
          </w:p>
        </w:tc>
        <w:tc>
          <w:tcPr>
            <w:tcW w:w="1456" w:type="dxa"/>
            <w:tcBorders>
              <w:top w:val="single" w:color="auto" w:sz="4" w:space="0"/>
              <w:left w:val="nil"/>
              <w:bottom w:val="single" w:color="auto" w:sz="4" w:space="0"/>
              <w:right w:val="single" w:color="auto" w:sz="4" w:space="0"/>
            </w:tcBorders>
            <w:vAlign w:val="center"/>
          </w:tcPr>
          <w:p w14:paraId="0C362003">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24AEA1DD">
            <w:pPr>
              <w:widowControl/>
              <w:jc w:val="center"/>
              <w:rPr>
                <w:rFonts w:ascii="宋体" w:hAnsi="宋体" w:eastAsia="宋体" w:cs="宋体"/>
                <w:bCs/>
                <w:kern w:val="0"/>
                <w:sz w:val="18"/>
                <w:szCs w:val="18"/>
              </w:rPr>
            </w:pPr>
            <w:r>
              <w:rPr>
                <w:rFonts w:ascii="宋体" w:hAnsi="宋体" w:eastAsia="宋体" w:cs="宋体"/>
                <w:bCs/>
                <w:kern w:val="0"/>
                <w:sz w:val="18"/>
                <w:szCs w:val="18"/>
              </w:rPr>
              <w:t>2200</w:t>
            </w:r>
          </w:p>
        </w:tc>
      </w:tr>
      <w:tr w14:paraId="28705D92">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6E1F62EA">
            <w:pPr>
              <w:widowControl/>
              <w:jc w:val="center"/>
              <w:rPr>
                <w:rFonts w:ascii="宋体" w:hAnsi="宋体" w:eastAsia="宋体" w:cs="宋体"/>
                <w:bCs/>
                <w:kern w:val="0"/>
                <w:sz w:val="18"/>
                <w:szCs w:val="18"/>
              </w:rPr>
            </w:pPr>
            <w:r>
              <w:rPr>
                <w:rFonts w:ascii="宋体" w:hAnsi="宋体" w:eastAsia="宋体" w:cs="宋体"/>
                <w:bCs/>
                <w:kern w:val="0"/>
                <w:sz w:val="18"/>
                <w:szCs w:val="18"/>
              </w:rPr>
              <w:t>27</w:t>
            </w:r>
          </w:p>
        </w:tc>
        <w:tc>
          <w:tcPr>
            <w:tcW w:w="947" w:type="dxa"/>
            <w:gridSpan w:val="2"/>
            <w:tcBorders>
              <w:top w:val="single" w:color="auto" w:sz="4" w:space="0"/>
              <w:left w:val="nil"/>
              <w:bottom w:val="single" w:color="auto" w:sz="4" w:space="0"/>
              <w:right w:val="single" w:color="auto" w:sz="4" w:space="0"/>
            </w:tcBorders>
            <w:vAlign w:val="center"/>
          </w:tcPr>
          <w:p w14:paraId="16F47BEC">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44F05EE0">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皮山县阔什塔格镇2025年土地碎片化治理项目</w:t>
            </w:r>
          </w:p>
        </w:tc>
        <w:tc>
          <w:tcPr>
            <w:tcW w:w="1456" w:type="dxa"/>
            <w:tcBorders>
              <w:top w:val="single" w:color="auto" w:sz="4" w:space="0"/>
              <w:left w:val="nil"/>
              <w:bottom w:val="single" w:color="auto" w:sz="4" w:space="0"/>
              <w:right w:val="single" w:color="auto" w:sz="4" w:space="0"/>
            </w:tcBorders>
            <w:vAlign w:val="center"/>
          </w:tcPr>
          <w:p w14:paraId="5D2BEE0F">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5D990668">
            <w:pPr>
              <w:widowControl/>
              <w:jc w:val="center"/>
              <w:rPr>
                <w:rFonts w:ascii="宋体" w:hAnsi="宋体" w:eastAsia="宋体" w:cs="宋体"/>
                <w:bCs/>
                <w:kern w:val="0"/>
                <w:sz w:val="18"/>
                <w:szCs w:val="18"/>
              </w:rPr>
            </w:pPr>
            <w:r>
              <w:rPr>
                <w:rFonts w:ascii="宋体" w:hAnsi="宋体" w:eastAsia="宋体" w:cs="宋体"/>
                <w:bCs/>
                <w:kern w:val="0"/>
                <w:sz w:val="18"/>
                <w:szCs w:val="18"/>
              </w:rPr>
              <w:t>540</w:t>
            </w:r>
          </w:p>
        </w:tc>
      </w:tr>
      <w:tr w14:paraId="016EA2BD">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66C72B76">
            <w:pPr>
              <w:widowControl/>
              <w:jc w:val="center"/>
              <w:rPr>
                <w:rFonts w:ascii="宋体" w:hAnsi="宋体" w:eastAsia="宋体" w:cs="宋体"/>
                <w:bCs/>
                <w:kern w:val="0"/>
                <w:sz w:val="18"/>
                <w:szCs w:val="18"/>
              </w:rPr>
            </w:pPr>
            <w:r>
              <w:rPr>
                <w:rFonts w:ascii="宋体" w:hAnsi="宋体" w:eastAsia="宋体" w:cs="宋体"/>
                <w:bCs/>
                <w:kern w:val="0"/>
                <w:sz w:val="18"/>
                <w:szCs w:val="18"/>
              </w:rPr>
              <w:t>28</w:t>
            </w:r>
          </w:p>
        </w:tc>
        <w:tc>
          <w:tcPr>
            <w:tcW w:w="947" w:type="dxa"/>
            <w:gridSpan w:val="2"/>
            <w:tcBorders>
              <w:top w:val="single" w:color="auto" w:sz="4" w:space="0"/>
              <w:left w:val="nil"/>
              <w:bottom w:val="single" w:color="auto" w:sz="4" w:space="0"/>
              <w:right w:val="single" w:color="auto" w:sz="4" w:space="0"/>
            </w:tcBorders>
            <w:vAlign w:val="center"/>
          </w:tcPr>
          <w:p w14:paraId="5A13FC46">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22B896FC">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皮山县克里阳乡2025年土地碎片化治理项目</w:t>
            </w:r>
          </w:p>
        </w:tc>
        <w:tc>
          <w:tcPr>
            <w:tcW w:w="1456" w:type="dxa"/>
            <w:tcBorders>
              <w:top w:val="single" w:color="auto" w:sz="4" w:space="0"/>
              <w:left w:val="nil"/>
              <w:bottom w:val="single" w:color="auto" w:sz="4" w:space="0"/>
              <w:right w:val="single" w:color="auto" w:sz="4" w:space="0"/>
            </w:tcBorders>
            <w:vAlign w:val="center"/>
          </w:tcPr>
          <w:p w14:paraId="66638D17">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1DA3D0BE">
            <w:pPr>
              <w:widowControl/>
              <w:jc w:val="center"/>
              <w:rPr>
                <w:rFonts w:ascii="宋体" w:hAnsi="宋体" w:eastAsia="宋体" w:cs="宋体"/>
                <w:bCs/>
                <w:kern w:val="0"/>
                <w:sz w:val="18"/>
                <w:szCs w:val="18"/>
              </w:rPr>
            </w:pPr>
            <w:r>
              <w:rPr>
                <w:rFonts w:ascii="宋体" w:hAnsi="宋体" w:eastAsia="宋体" w:cs="宋体"/>
                <w:bCs/>
                <w:kern w:val="0"/>
                <w:sz w:val="18"/>
                <w:szCs w:val="18"/>
              </w:rPr>
              <w:t>675</w:t>
            </w:r>
          </w:p>
        </w:tc>
      </w:tr>
      <w:tr w14:paraId="4C6AE2EC">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14BD9EC9">
            <w:pPr>
              <w:widowControl/>
              <w:jc w:val="center"/>
              <w:rPr>
                <w:rFonts w:ascii="宋体" w:hAnsi="宋体" w:eastAsia="宋体" w:cs="宋体"/>
                <w:bCs/>
                <w:kern w:val="0"/>
                <w:sz w:val="18"/>
                <w:szCs w:val="18"/>
              </w:rPr>
            </w:pPr>
            <w:r>
              <w:rPr>
                <w:rFonts w:ascii="宋体" w:hAnsi="宋体" w:eastAsia="宋体" w:cs="宋体"/>
                <w:bCs/>
                <w:kern w:val="0"/>
                <w:sz w:val="18"/>
                <w:szCs w:val="18"/>
              </w:rPr>
              <w:t>29</w:t>
            </w:r>
          </w:p>
        </w:tc>
        <w:tc>
          <w:tcPr>
            <w:tcW w:w="947" w:type="dxa"/>
            <w:gridSpan w:val="2"/>
            <w:tcBorders>
              <w:top w:val="single" w:color="auto" w:sz="4" w:space="0"/>
              <w:left w:val="nil"/>
              <w:bottom w:val="single" w:color="auto" w:sz="4" w:space="0"/>
              <w:right w:val="single" w:color="auto" w:sz="4" w:space="0"/>
            </w:tcBorders>
            <w:vAlign w:val="center"/>
          </w:tcPr>
          <w:p w14:paraId="0D50F986">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0C9907FB">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皮山县皮亚勒玛乡2025年石榴产业病虫害防治项目</w:t>
            </w:r>
          </w:p>
        </w:tc>
        <w:tc>
          <w:tcPr>
            <w:tcW w:w="1456" w:type="dxa"/>
            <w:tcBorders>
              <w:top w:val="single" w:color="auto" w:sz="4" w:space="0"/>
              <w:left w:val="nil"/>
              <w:bottom w:val="single" w:color="auto" w:sz="4" w:space="0"/>
              <w:right w:val="single" w:color="auto" w:sz="4" w:space="0"/>
            </w:tcBorders>
            <w:vAlign w:val="center"/>
          </w:tcPr>
          <w:p w14:paraId="48E099CC">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21EE7CD9">
            <w:pPr>
              <w:widowControl/>
              <w:jc w:val="center"/>
              <w:rPr>
                <w:rFonts w:ascii="宋体" w:hAnsi="宋体" w:eastAsia="宋体" w:cs="宋体"/>
                <w:bCs/>
                <w:kern w:val="0"/>
                <w:sz w:val="18"/>
                <w:szCs w:val="18"/>
              </w:rPr>
            </w:pPr>
            <w:r>
              <w:rPr>
                <w:rFonts w:ascii="宋体" w:hAnsi="宋体" w:eastAsia="宋体" w:cs="宋体"/>
                <w:bCs/>
                <w:kern w:val="0"/>
                <w:sz w:val="18"/>
                <w:szCs w:val="18"/>
              </w:rPr>
              <w:t>130</w:t>
            </w:r>
          </w:p>
        </w:tc>
      </w:tr>
      <w:tr w14:paraId="354D3384">
        <w:tblPrEx>
          <w:tblCellMar>
            <w:top w:w="0" w:type="dxa"/>
            <w:left w:w="108" w:type="dxa"/>
            <w:bottom w:w="0" w:type="dxa"/>
            <w:right w:w="108" w:type="dxa"/>
          </w:tblCellMar>
        </w:tblPrEx>
        <w:trPr>
          <w:trHeight w:val="629"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0B4C5EA7">
            <w:pPr>
              <w:widowControl/>
              <w:jc w:val="center"/>
              <w:rPr>
                <w:rFonts w:ascii="宋体" w:hAnsi="宋体" w:eastAsia="宋体" w:cs="宋体"/>
                <w:bCs/>
                <w:kern w:val="0"/>
                <w:sz w:val="18"/>
                <w:szCs w:val="18"/>
              </w:rPr>
            </w:pPr>
            <w:r>
              <w:rPr>
                <w:rFonts w:ascii="宋体" w:hAnsi="宋体" w:eastAsia="宋体" w:cs="宋体"/>
                <w:bCs/>
                <w:kern w:val="0"/>
                <w:sz w:val="18"/>
                <w:szCs w:val="18"/>
              </w:rPr>
              <w:t>30</w:t>
            </w:r>
          </w:p>
        </w:tc>
        <w:tc>
          <w:tcPr>
            <w:tcW w:w="947" w:type="dxa"/>
            <w:gridSpan w:val="2"/>
            <w:tcBorders>
              <w:top w:val="single" w:color="auto" w:sz="4" w:space="0"/>
              <w:left w:val="nil"/>
              <w:bottom w:val="single" w:color="auto" w:sz="4" w:space="0"/>
              <w:right w:val="single" w:color="auto" w:sz="4" w:space="0"/>
            </w:tcBorders>
            <w:vAlign w:val="center"/>
          </w:tcPr>
          <w:p w14:paraId="110DB7B0">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5D7373CB">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皮山县康克尔乡山洪沟防洪治理以工代赈项目（一期、二期）</w:t>
            </w:r>
          </w:p>
        </w:tc>
        <w:tc>
          <w:tcPr>
            <w:tcW w:w="1456" w:type="dxa"/>
            <w:tcBorders>
              <w:top w:val="single" w:color="auto" w:sz="4" w:space="0"/>
              <w:left w:val="nil"/>
              <w:bottom w:val="single" w:color="auto" w:sz="4" w:space="0"/>
              <w:right w:val="single" w:color="auto" w:sz="4" w:space="0"/>
            </w:tcBorders>
            <w:vAlign w:val="center"/>
          </w:tcPr>
          <w:p w14:paraId="769A6E00">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以工代赈资金</w:t>
            </w:r>
          </w:p>
        </w:tc>
        <w:tc>
          <w:tcPr>
            <w:tcW w:w="1097" w:type="dxa"/>
            <w:tcBorders>
              <w:top w:val="single" w:color="auto" w:sz="4" w:space="0"/>
              <w:left w:val="nil"/>
              <w:bottom w:val="single" w:color="auto" w:sz="4" w:space="0"/>
              <w:right w:val="single" w:color="auto" w:sz="4" w:space="0"/>
            </w:tcBorders>
            <w:vAlign w:val="center"/>
          </w:tcPr>
          <w:p w14:paraId="2316C6BA">
            <w:pPr>
              <w:widowControl/>
              <w:jc w:val="center"/>
              <w:rPr>
                <w:rFonts w:ascii="宋体" w:hAnsi="宋体" w:eastAsia="宋体" w:cs="宋体"/>
                <w:bCs/>
                <w:kern w:val="0"/>
                <w:sz w:val="18"/>
                <w:szCs w:val="18"/>
              </w:rPr>
            </w:pPr>
            <w:r>
              <w:rPr>
                <w:rFonts w:ascii="宋体" w:hAnsi="宋体" w:eastAsia="宋体" w:cs="宋体"/>
                <w:bCs/>
                <w:kern w:val="0"/>
                <w:sz w:val="18"/>
                <w:szCs w:val="18"/>
              </w:rPr>
              <w:t>800</w:t>
            </w:r>
          </w:p>
        </w:tc>
      </w:tr>
      <w:tr w14:paraId="06EAB185">
        <w:tblPrEx>
          <w:tblCellMar>
            <w:top w:w="0" w:type="dxa"/>
            <w:left w:w="108" w:type="dxa"/>
            <w:bottom w:w="0" w:type="dxa"/>
            <w:right w:w="108" w:type="dxa"/>
          </w:tblCellMar>
        </w:tblPrEx>
        <w:trPr>
          <w:trHeight w:val="346"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11ABA01B">
            <w:pPr>
              <w:widowControl/>
              <w:jc w:val="center"/>
              <w:rPr>
                <w:rFonts w:ascii="宋体" w:hAnsi="宋体" w:eastAsia="宋体" w:cs="宋体"/>
                <w:bCs/>
                <w:kern w:val="0"/>
                <w:sz w:val="18"/>
                <w:szCs w:val="18"/>
              </w:rPr>
            </w:pPr>
            <w:r>
              <w:rPr>
                <w:rFonts w:ascii="宋体" w:hAnsi="宋体" w:eastAsia="宋体" w:cs="宋体"/>
                <w:bCs/>
                <w:kern w:val="0"/>
                <w:sz w:val="18"/>
                <w:szCs w:val="18"/>
              </w:rPr>
              <w:t>31</w:t>
            </w:r>
          </w:p>
        </w:tc>
        <w:tc>
          <w:tcPr>
            <w:tcW w:w="947" w:type="dxa"/>
            <w:gridSpan w:val="2"/>
            <w:tcBorders>
              <w:top w:val="single" w:color="auto" w:sz="4" w:space="0"/>
              <w:left w:val="nil"/>
              <w:bottom w:val="single" w:color="auto" w:sz="4" w:space="0"/>
              <w:right w:val="single" w:color="auto" w:sz="4" w:space="0"/>
            </w:tcBorders>
            <w:vAlign w:val="center"/>
          </w:tcPr>
          <w:p w14:paraId="51376A3F">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5356D54B">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皮山县康克尔乡2025年小型农田水利以工代赈项目</w:t>
            </w:r>
          </w:p>
        </w:tc>
        <w:tc>
          <w:tcPr>
            <w:tcW w:w="1456" w:type="dxa"/>
            <w:tcBorders>
              <w:top w:val="single" w:color="auto" w:sz="4" w:space="0"/>
              <w:left w:val="nil"/>
              <w:bottom w:val="single" w:color="auto" w:sz="4" w:space="0"/>
              <w:right w:val="single" w:color="auto" w:sz="4" w:space="0"/>
            </w:tcBorders>
            <w:vAlign w:val="center"/>
          </w:tcPr>
          <w:p w14:paraId="36DD1274">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以工代赈资金</w:t>
            </w:r>
          </w:p>
        </w:tc>
        <w:tc>
          <w:tcPr>
            <w:tcW w:w="1097" w:type="dxa"/>
            <w:tcBorders>
              <w:top w:val="single" w:color="auto" w:sz="4" w:space="0"/>
              <w:left w:val="nil"/>
              <w:bottom w:val="single" w:color="auto" w:sz="4" w:space="0"/>
              <w:right w:val="single" w:color="auto" w:sz="4" w:space="0"/>
            </w:tcBorders>
            <w:vAlign w:val="center"/>
          </w:tcPr>
          <w:p w14:paraId="41281E50">
            <w:pPr>
              <w:widowControl/>
              <w:jc w:val="center"/>
              <w:rPr>
                <w:rFonts w:ascii="宋体" w:hAnsi="宋体" w:eastAsia="宋体" w:cs="宋体"/>
                <w:bCs/>
                <w:kern w:val="0"/>
                <w:sz w:val="18"/>
                <w:szCs w:val="18"/>
              </w:rPr>
            </w:pPr>
            <w:r>
              <w:rPr>
                <w:rFonts w:ascii="宋体" w:hAnsi="宋体" w:eastAsia="宋体" w:cs="宋体"/>
                <w:bCs/>
                <w:kern w:val="0"/>
                <w:sz w:val="18"/>
                <w:szCs w:val="18"/>
              </w:rPr>
              <w:t>400</w:t>
            </w:r>
          </w:p>
        </w:tc>
      </w:tr>
      <w:tr w14:paraId="5E16729E">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571E6C17">
            <w:pPr>
              <w:widowControl/>
              <w:jc w:val="center"/>
              <w:rPr>
                <w:rFonts w:ascii="宋体" w:hAnsi="宋体" w:eastAsia="宋体" w:cs="宋体"/>
                <w:bCs/>
                <w:kern w:val="0"/>
                <w:sz w:val="18"/>
                <w:szCs w:val="18"/>
              </w:rPr>
            </w:pPr>
            <w:r>
              <w:rPr>
                <w:rFonts w:ascii="宋体" w:hAnsi="宋体" w:eastAsia="宋体" w:cs="宋体"/>
                <w:bCs/>
                <w:kern w:val="0"/>
                <w:sz w:val="18"/>
                <w:szCs w:val="18"/>
              </w:rPr>
              <w:t>32</w:t>
            </w:r>
          </w:p>
        </w:tc>
        <w:tc>
          <w:tcPr>
            <w:tcW w:w="947" w:type="dxa"/>
            <w:gridSpan w:val="2"/>
            <w:tcBorders>
              <w:top w:val="single" w:color="auto" w:sz="4" w:space="0"/>
              <w:left w:val="nil"/>
              <w:bottom w:val="single" w:color="auto" w:sz="4" w:space="0"/>
              <w:right w:val="single" w:color="auto" w:sz="4" w:space="0"/>
            </w:tcBorders>
            <w:vAlign w:val="center"/>
          </w:tcPr>
          <w:p w14:paraId="27220709">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7B984F55">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皮山县皮西那乡2025年小型农田水利以工代赈项目</w:t>
            </w:r>
          </w:p>
        </w:tc>
        <w:tc>
          <w:tcPr>
            <w:tcW w:w="1456" w:type="dxa"/>
            <w:tcBorders>
              <w:top w:val="single" w:color="auto" w:sz="4" w:space="0"/>
              <w:left w:val="nil"/>
              <w:bottom w:val="single" w:color="auto" w:sz="4" w:space="0"/>
              <w:right w:val="single" w:color="auto" w:sz="4" w:space="0"/>
            </w:tcBorders>
            <w:vAlign w:val="center"/>
          </w:tcPr>
          <w:p w14:paraId="7C377D5E">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以工代赈资金</w:t>
            </w:r>
          </w:p>
        </w:tc>
        <w:tc>
          <w:tcPr>
            <w:tcW w:w="1097" w:type="dxa"/>
            <w:tcBorders>
              <w:top w:val="single" w:color="auto" w:sz="4" w:space="0"/>
              <w:left w:val="nil"/>
              <w:bottom w:val="single" w:color="auto" w:sz="4" w:space="0"/>
              <w:right w:val="single" w:color="auto" w:sz="4" w:space="0"/>
            </w:tcBorders>
            <w:vAlign w:val="center"/>
          </w:tcPr>
          <w:p w14:paraId="20AA8264">
            <w:pPr>
              <w:widowControl/>
              <w:jc w:val="center"/>
              <w:rPr>
                <w:rFonts w:ascii="宋体" w:hAnsi="宋体" w:eastAsia="宋体" w:cs="宋体"/>
                <w:bCs/>
                <w:kern w:val="0"/>
                <w:sz w:val="18"/>
                <w:szCs w:val="18"/>
              </w:rPr>
            </w:pPr>
            <w:r>
              <w:rPr>
                <w:rFonts w:ascii="宋体" w:hAnsi="宋体" w:eastAsia="宋体" w:cs="宋体"/>
                <w:bCs/>
                <w:kern w:val="0"/>
                <w:sz w:val="18"/>
                <w:szCs w:val="18"/>
              </w:rPr>
              <w:t>400</w:t>
            </w:r>
          </w:p>
        </w:tc>
      </w:tr>
      <w:tr w14:paraId="0540D0DF">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24BA9E9D">
            <w:pPr>
              <w:widowControl/>
              <w:jc w:val="center"/>
              <w:rPr>
                <w:rFonts w:ascii="宋体" w:hAnsi="宋体" w:eastAsia="宋体" w:cs="宋体"/>
                <w:bCs/>
                <w:kern w:val="0"/>
                <w:sz w:val="18"/>
                <w:szCs w:val="18"/>
              </w:rPr>
            </w:pPr>
            <w:r>
              <w:rPr>
                <w:rFonts w:ascii="宋体" w:hAnsi="宋体" w:eastAsia="宋体" w:cs="宋体"/>
                <w:bCs/>
                <w:kern w:val="0"/>
                <w:sz w:val="18"/>
                <w:szCs w:val="18"/>
              </w:rPr>
              <w:t>33</w:t>
            </w:r>
          </w:p>
        </w:tc>
        <w:tc>
          <w:tcPr>
            <w:tcW w:w="947" w:type="dxa"/>
            <w:gridSpan w:val="2"/>
            <w:tcBorders>
              <w:top w:val="single" w:color="auto" w:sz="4" w:space="0"/>
              <w:left w:val="nil"/>
              <w:bottom w:val="single" w:color="auto" w:sz="4" w:space="0"/>
              <w:right w:val="single" w:color="auto" w:sz="4" w:space="0"/>
            </w:tcBorders>
            <w:vAlign w:val="center"/>
          </w:tcPr>
          <w:p w14:paraId="21B660D9">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2217B0D9">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皮山县桑株镇2025年道路以工代赈项目</w:t>
            </w:r>
          </w:p>
        </w:tc>
        <w:tc>
          <w:tcPr>
            <w:tcW w:w="1456" w:type="dxa"/>
            <w:tcBorders>
              <w:top w:val="single" w:color="auto" w:sz="4" w:space="0"/>
              <w:left w:val="nil"/>
              <w:bottom w:val="single" w:color="auto" w:sz="4" w:space="0"/>
              <w:right w:val="single" w:color="auto" w:sz="4" w:space="0"/>
            </w:tcBorders>
            <w:vAlign w:val="center"/>
          </w:tcPr>
          <w:p w14:paraId="5EFCED9B">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以工代赈资金</w:t>
            </w:r>
          </w:p>
        </w:tc>
        <w:tc>
          <w:tcPr>
            <w:tcW w:w="1097" w:type="dxa"/>
            <w:tcBorders>
              <w:top w:val="single" w:color="auto" w:sz="4" w:space="0"/>
              <w:left w:val="nil"/>
              <w:bottom w:val="single" w:color="auto" w:sz="4" w:space="0"/>
              <w:right w:val="single" w:color="auto" w:sz="4" w:space="0"/>
            </w:tcBorders>
            <w:vAlign w:val="center"/>
          </w:tcPr>
          <w:p w14:paraId="1EEF48FE">
            <w:pPr>
              <w:widowControl/>
              <w:jc w:val="center"/>
              <w:rPr>
                <w:rFonts w:ascii="宋体" w:hAnsi="宋体" w:eastAsia="宋体" w:cs="宋体"/>
                <w:bCs/>
                <w:kern w:val="0"/>
                <w:sz w:val="18"/>
                <w:szCs w:val="18"/>
              </w:rPr>
            </w:pPr>
            <w:r>
              <w:rPr>
                <w:rFonts w:ascii="宋体" w:hAnsi="宋体" w:eastAsia="宋体" w:cs="宋体"/>
                <w:bCs/>
                <w:kern w:val="0"/>
                <w:sz w:val="18"/>
                <w:szCs w:val="18"/>
              </w:rPr>
              <w:t>400</w:t>
            </w:r>
          </w:p>
        </w:tc>
      </w:tr>
      <w:tr w14:paraId="58962A2B">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7DED62D2">
            <w:pPr>
              <w:widowControl/>
              <w:jc w:val="center"/>
              <w:rPr>
                <w:rFonts w:ascii="宋体" w:hAnsi="宋体" w:eastAsia="宋体" w:cs="宋体"/>
                <w:bCs/>
                <w:kern w:val="0"/>
                <w:sz w:val="18"/>
                <w:szCs w:val="18"/>
              </w:rPr>
            </w:pPr>
            <w:r>
              <w:rPr>
                <w:rFonts w:ascii="宋体" w:hAnsi="宋体" w:eastAsia="宋体" w:cs="宋体"/>
                <w:bCs/>
                <w:kern w:val="0"/>
                <w:sz w:val="18"/>
                <w:szCs w:val="18"/>
              </w:rPr>
              <w:t>34</w:t>
            </w:r>
          </w:p>
        </w:tc>
        <w:tc>
          <w:tcPr>
            <w:tcW w:w="947" w:type="dxa"/>
            <w:gridSpan w:val="2"/>
            <w:tcBorders>
              <w:top w:val="single" w:color="auto" w:sz="4" w:space="0"/>
              <w:left w:val="nil"/>
              <w:bottom w:val="single" w:color="auto" w:sz="4" w:space="0"/>
              <w:right w:val="single" w:color="auto" w:sz="4" w:space="0"/>
            </w:tcBorders>
            <w:vAlign w:val="center"/>
          </w:tcPr>
          <w:p w14:paraId="39002ACB">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4847BDF4">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皮山县木奎拉乡2025年小型农田水利以工代赈项目</w:t>
            </w:r>
          </w:p>
        </w:tc>
        <w:tc>
          <w:tcPr>
            <w:tcW w:w="1456" w:type="dxa"/>
            <w:tcBorders>
              <w:top w:val="single" w:color="auto" w:sz="4" w:space="0"/>
              <w:left w:val="nil"/>
              <w:bottom w:val="single" w:color="auto" w:sz="4" w:space="0"/>
              <w:right w:val="single" w:color="auto" w:sz="4" w:space="0"/>
            </w:tcBorders>
            <w:vAlign w:val="center"/>
          </w:tcPr>
          <w:p w14:paraId="35B0E0AC">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以工代赈资金</w:t>
            </w:r>
          </w:p>
        </w:tc>
        <w:tc>
          <w:tcPr>
            <w:tcW w:w="1097" w:type="dxa"/>
            <w:tcBorders>
              <w:top w:val="single" w:color="auto" w:sz="4" w:space="0"/>
              <w:left w:val="nil"/>
              <w:bottom w:val="single" w:color="auto" w:sz="4" w:space="0"/>
              <w:right w:val="single" w:color="auto" w:sz="4" w:space="0"/>
            </w:tcBorders>
            <w:vAlign w:val="center"/>
          </w:tcPr>
          <w:p w14:paraId="2A73A6C5">
            <w:pPr>
              <w:widowControl/>
              <w:jc w:val="center"/>
              <w:rPr>
                <w:rFonts w:ascii="宋体" w:hAnsi="宋体" w:eastAsia="宋体" w:cs="宋体"/>
                <w:bCs/>
                <w:kern w:val="0"/>
                <w:sz w:val="18"/>
                <w:szCs w:val="18"/>
              </w:rPr>
            </w:pPr>
            <w:r>
              <w:rPr>
                <w:rFonts w:ascii="宋体" w:hAnsi="宋体" w:eastAsia="宋体" w:cs="宋体"/>
                <w:bCs/>
                <w:kern w:val="0"/>
                <w:sz w:val="18"/>
                <w:szCs w:val="18"/>
              </w:rPr>
              <w:t>350</w:t>
            </w:r>
          </w:p>
        </w:tc>
      </w:tr>
      <w:tr w14:paraId="75DFCC66">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05F624C0">
            <w:pPr>
              <w:widowControl/>
              <w:jc w:val="center"/>
              <w:rPr>
                <w:rFonts w:ascii="宋体" w:hAnsi="宋体" w:eastAsia="宋体" w:cs="宋体"/>
                <w:bCs/>
                <w:kern w:val="0"/>
                <w:sz w:val="18"/>
                <w:szCs w:val="18"/>
              </w:rPr>
            </w:pPr>
            <w:r>
              <w:rPr>
                <w:rFonts w:ascii="宋体" w:hAnsi="宋体" w:eastAsia="宋体" w:cs="宋体"/>
                <w:bCs/>
                <w:kern w:val="0"/>
                <w:sz w:val="18"/>
                <w:szCs w:val="18"/>
              </w:rPr>
              <w:t>35</w:t>
            </w:r>
          </w:p>
        </w:tc>
        <w:tc>
          <w:tcPr>
            <w:tcW w:w="947" w:type="dxa"/>
            <w:gridSpan w:val="2"/>
            <w:tcBorders>
              <w:top w:val="single" w:color="auto" w:sz="4" w:space="0"/>
              <w:left w:val="nil"/>
              <w:bottom w:val="single" w:color="auto" w:sz="4" w:space="0"/>
              <w:right w:val="single" w:color="auto" w:sz="4" w:space="0"/>
            </w:tcBorders>
            <w:vAlign w:val="center"/>
          </w:tcPr>
          <w:p w14:paraId="50365106">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1E8D3B7D">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皮山县桑株镇2025年小型农田水利以工代赈项目（二期）</w:t>
            </w:r>
          </w:p>
        </w:tc>
        <w:tc>
          <w:tcPr>
            <w:tcW w:w="1456" w:type="dxa"/>
            <w:tcBorders>
              <w:top w:val="single" w:color="auto" w:sz="4" w:space="0"/>
              <w:left w:val="nil"/>
              <w:bottom w:val="single" w:color="auto" w:sz="4" w:space="0"/>
              <w:right w:val="single" w:color="auto" w:sz="4" w:space="0"/>
            </w:tcBorders>
            <w:vAlign w:val="center"/>
          </w:tcPr>
          <w:p w14:paraId="76B4877F">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以工代赈资金</w:t>
            </w:r>
          </w:p>
        </w:tc>
        <w:tc>
          <w:tcPr>
            <w:tcW w:w="1097" w:type="dxa"/>
            <w:tcBorders>
              <w:top w:val="single" w:color="auto" w:sz="4" w:space="0"/>
              <w:left w:val="nil"/>
              <w:bottom w:val="single" w:color="auto" w:sz="4" w:space="0"/>
              <w:right w:val="single" w:color="auto" w:sz="4" w:space="0"/>
            </w:tcBorders>
            <w:vAlign w:val="center"/>
          </w:tcPr>
          <w:p w14:paraId="5B6EC973">
            <w:pPr>
              <w:widowControl/>
              <w:jc w:val="center"/>
              <w:rPr>
                <w:rFonts w:ascii="宋体" w:hAnsi="宋体" w:eastAsia="宋体" w:cs="宋体"/>
                <w:bCs/>
                <w:kern w:val="0"/>
                <w:sz w:val="18"/>
                <w:szCs w:val="18"/>
              </w:rPr>
            </w:pPr>
            <w:r>
              <w:rPr>
                <w:rFonts w:ascii="宋体" w:hAnsi="宋体" w:eastAsia="宋体" w:cs="宋体"/>
                <w:bCs/>
                <w:kern w:val="0"/>
                <w:sz w:val="18"/>
                <w:szCs w:val="18"/>
              </w:rPr>
              <w:t>113</w:t>
            </w:r>
          </w:p>
        </w:tc>
      </w:tr>
      <w:tr w14:paraId="545F4F7B">
        <w:tblPrEx>
          <w:tblCellMar>
            <w:top w:w="0" w:type="dxa"/>
            <w:left w:w="108" w:type="dxa"/>
            <w:bottom w:w="0" w:type="dxa"/>
            <w:right w:w="108" w:type="dxa"/>
          </w:tblCellMar>
        </w:tblPrEx>
        <w:trPr>
          <w:trHeight w:val="629"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1903149A">
            <w:pPr>
              <w:widowControl/>
              <w:jc w:val="center"/>
              <w:rPr>
                <w:rFonts w:ascii="宋体" w:hAnsi="宋体" w:eastAsia="宋体" w:cs="宋体"/>
                <w:bCs/>
                <w:kern w:val="0"/>
                <w:sz w:val="18"/>
                <w:szCs w:val="18"/>
              </w:rPr>
            </w:pPr>
            <w:r>
              <w:rPr>
                <w:rFonts w:ascii="宋体" w:hAnsi="宋体" w:eastAsia="宋体" w:cs="宋体"/>
                <w:bCs/>
                <w:kern w:val="0"/>
                <w:sz w:val="18"/>
                <w:szCs w:val="18"/>
              </w:rPr>
              <w:t>36</w:t>
            </w:r>
          </w:p>
        </w:tc>
        <w:tc>
          <w:tcPr>
            <w:tcW w:w="947" w:type="dxa"/>
            <w:gridSpan w:val="2"/>
            <w:tcBorders>
              <w:top w:val="single" w:color="auto" w:sz="4" w:space="0"/>
              <w:left w:val="nil"/>
              <w:bottom w:val="single" w:color="auto" w:sz="4" w:space="0"/>
              <w:right w:val="single" w:color="auto" w:sz="4" w:space="0"/>
            </w:tcBorders>
            <w:vAlign w:val="center"/>
          </w:tcPr>
          <w:p w14:paraId="694E6373">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799D223F">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皮山县国营牧场产业发展项目（乔达乡巴什拉克村）</w:t>
            </w:r>
          </w:p>
        </w:tc>
        <w:tc>
          <w:tcPr>
            <w:tcW w:w="1456" w:type="dxa"/>
            <w:tcBorders>
              <w:top w:val="single" w:color="auto" w:sz="4" w:space="0"/>
              <w:left w:val="nil"/>
              <w:bottom w:val="single" w:color="auto" w:sz="4" w:space="0"/>
              <w:right w:val="single" w:color="auto" w:sz="4" w:space="0"/>
            </w:tcBorders>
            <w:vAlign w:val="center"/>
          </w:tcPr>
          <w:p w14:paraId="66FB6222">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欠发达国营牧场资金</w:t>
            </w:r>
          </w:p>
        </w:tc>
        <w:tc>
          <w:tcPr>
            <w:tcW w:w="1097" w:type="dxa"/>
            <w:tcBorders>
              <w:top w:val="single" w:color="auto" w:sz="4" w:space="0"/>
              <w:left w:val="nil"/>
              <w:bottom w:val="single" w:color="auto" w:sz="4" w:space="0"/>
              <w:right w:val="single" w:color="auto" w:sz="4" w:space="0"/>
            </w:tcBorders>
            <w:vAlign w:val="center"/>
          </w:tcPr>
          <w:p w14:paraId="24098E95">
            <w:pPr>
              <w:widowControl/>
              <w:jc w:val="center"/>
              <w:rPr>
                <w:rFonts w:ascii="宋体" w:hAnsi="宋体" w:eastAsia="宋体" w:cs="宋体"/>
                <w:bCs/>
                <w:kern w:val="0"/>
                <w:sz w:val="18"/>
                <w:szCs w:val="18"/>
              </w:rPr>
            </w:pPr>
            <w:r>
              <w:rPr>
                <w:rFonts w:ascii="宋体" w:hAnsi="宋体" w:eastAsia="宋体" w:cs="宋体"/>
                <w:bCs/>
                <w:kern w:val="0"/>
                <w:sz w:val="18"/>
                <w:szCs w:val="18"/>
              </w:rPr>
              <w:t>92</w:t>
            </w:r>
          </w:p>
        </w:tc>
      </w:tr>
      <w:tr w14:paraId="13348FA8">
        <w:tblPrEx>
          <w:tblCellMar>
            <w:top w:w="0" w:type="dxa"/>
            <w:left w:w="108" w:type="dxa"/>
            <w:bottom w:w="0" w:type="dxa"/>
            <w:right w:w="108" w:type="dxa"/>
          </w:tblCellMar>
        </w:tblPrEx>
        <w:trPr>
          <w:trHeight w:val="629"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6D173D12">
            <w:pPr>
              <w:widowControl/>
              <w:jc w:val="center"/>
              <w:rPr>
                <w:rFonts w:ascii="宋体" w:hAnsi="宋体" w:eastAsia="宋体" w:cs="宋体"/>
                <w:bCs/>
                <w:kern w:val="0"/>
                <w:sz w:val="18"/>
                <w:szCs w:val="18"/>
              </w:rPr>
            </w:pPr>
            <w:r>
              <w:rPr>
                <w:rFonts w:ascii="宋体" w:hAnsi="宋体" w:eastAsia="宋体" w:cs="宋体"/>
                <w:bCs/>
                <w:kern w:val="0"/>
                <w:sz w:val="18"/>
                <w:szCs w:val="18"/>
              </w:rPr>
              <w:t>37</w:t>
            </w:r>
          </w:p>
        </w:tc>
        <w:tc>
          <w:tcPr>
            <w:tcW w:w="947" w:type="dxa"/>
            <w:gridSpan w:val="2"/>
            <w:tcBorders>
              <w:top w:val="single" w:color="auto" w:sz="4" w:space="0"/>
              <w:left w:val="nil"/>
              <w:bottom w:val="single" w:color="auto" w:sz="4" w:space="0"/>
              <w:right w:val="single" w:color="auto" w:sz="4" w:space="0"/>
            </w:tcBorders>
            <w:vAlign w:val="center"/>
          </w:tcPr>
          <w:p w14:paraId="0F5D4A94">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00F0E127">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皮山县木奎拉乡至固玛镇2025年沙产业基础设施配套项目</w:t>
            </w:r>
          </w:p>
        </w:tc>
        <w:tc>
          <w:tcPr>
            <w:tcW w:w="1456" w:type="dxa"/>
            <w:tcBorders>
              <w:top w:val="single" w:color="auto" w:sz="4" w:space="0"/>
              <w:left w:val="nil"/>
              <w:bottom w:val="single" w:color="auto" w:sz="4" w:space="0"/>
              <w:right w:val="single" w:color="auto" w:sz="4" w:space="0"/>
            </w:tcBorders>
            <w:vAlign w:val="center"/>
          </w:tcPr>
          <w:p w14:paraId="07F7C575">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7DA3B4D8">
            <w:pPr>
              <w:widowControl/>
              <w:jc w:val="center"/>
              <w:rPr>
                <w:rFonts w:ascii="宋体" w:hAnsi="宋体" w:eastAsia="宋体" w:cs="宋体"/>
                <w:bCs/>
                <w:kern w:val="0"/>
                <w:sz w:val="18"/>
                <w:szCs w:val="18"/>
              </w:rPr>
            </w:pPr>
            <w:r>
              <w:rPr>
                <w:rFonts w:ascii="宋体" w:hAnsi="宋体" w:eastAsia="宋体" w:cs="宋体"/>
                <w:bCs/>
                <w:kern w:val="0"/>
                <w:sz w:val="18"/>
                <w:szCs w:val="18"/>
              </w:rPr>
              <w:t>1450</w:t>
            </w:r>
          </w:p>
        </w:tc>
      </w:tr>
      <w:tr w14:paraId="45237766">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4491BA5E">
            <w:pPr>
              <w:widowControl/>
              <w:jc w:val="center"/>
              <w:rPr>
                <w:rFonts w:ascii="宋体" w:hAnsi="宋体" w:eastAsia="宋体" w:cs="宋体"/>
                <w:bCs/>
                <w:kern w:val="0"/>
                <w:sz w:val="18"/>
                <w:szCs w:val="18"/>
              </w:rPr>
            </w:pPr>
            <w:r>
              <w:rPr>
                <w:rFonts w:ascii="宋体" w:hAnsi="宋体" w:eastAsia="宋体" w:cs="宋体"/>
                <w:bCs/>
                <w:kern w:val="0"/>
                <w:sz w:val="18"/>
                <w:szCs w:val="18"/>
              </w:rPr>
              <w:t>38</w:t>
            </w:r>
          </w:p>
        </w:tc>
        <w:tc>
          <w:tcPr>
            <w:tcW w:w="947" w:type="dxa"/>
            <w:gridSpan w:val="2"/>
            <w:tcBorders>
              <w:top w:val="single" w:color="auto" w:sz="4" w:space="0"/>
              <w:left w:val="nil"/>
              <w:bottom w:val="single" w:color="auto" w:sz="4" w:space="0"/>
              <w:right w:val="single" w:color="auto" w:sz="4" w:space="0"/>
            </w:tcBorders>
            <w:vAlign w:val="center"/>
          </w:tcPr>
          <w:p w14:paraId="2316C401">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40352EFB">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皮山县木奎拉乡智慧农业建设项目</w:t>
            </w:r>
          </w:p>
        </w:tc>
        <w:tc>
          <w:tcPr>
            <w:tcW w:w="1456" w:type="dxa"/>
            <w:tcBorders>
              <w:top w:val="single" w:color="auto" w:sz="4" w:space="0"/>
              <w:left w:val="nil"/>
              <w:bottom w:val="single" w:color="auto" w:sz="4" w:space="0"/>
              <w:right w:val="single" w:color="auto" w:sz="4" w:space="0"/>
            </w:tcBorders>
            <w:vAlign w:val="center"/>
          </w:tcPr>
          <w:p w14:paraId="1F94E47C">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11B9E96D">
            <w:pPr>
              <w:widowControl/>
              <w:jc w:val="center"/>
              <w:rPr>
                <w:rFonts w:ascii="宋体" w:hAnsi="宋体" w:eastAsia="宋体" w:cs="宋体"/>
                <w:bCs/>
                <w:kern w:val="0"/>
                <w:sz w:val="18"/>
                <w:szCs w:val="18"/>
              </w:rPr>
            </w:pPr>
            <w:r>
              <w:rPr>
                <w:rFonts w:ascii="宋体" w:hAnsi="宋体" w:eastAsia="宋体" w:cs="宋体"/>
                <w:bCs/>
                <w:kern w:val="0"/>
                <w:sz w:val="18"/>
                <w:szCs w:val="18"/>
              </w:rPr>
              <w:t>350</w:t>
            </w:r>
          </w:p>
        </w:tc>
      </w:tr>
      <w:tr w14:paraId="002234C4">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5F20C0C3">
            <w:pPr>
              <w:widowControl/>
              <w:jc w:val="center"/>
              <w:rPr>
                <w:rFonts w:ascii="宋体" w:hAnsi="宋体" w:eastAsia="宋体" w:cs="宋体"/>
                <w:bCs/>
                <w:kern w:val="0"/>
                <w:sz w:val="18"/>
                <w:szCs w:val="18"/>
              </w:rPr>
            </w:pPr>
            <w:r>
              <w:rPr>
                <w:rFonts w:ascii="宋体" w:hAnsi="宋体" w:eastAsia="宋体" w:cs="宋体"/>
                <w:bCs/>
                <w:kern w:val="0"/>
                <w:sz w:val="18"/>
                <w:szCs w:val="18"/>
              </w:rPr>
              <w:t>39</w:t>
            </w:r>
          </w:p>
        </w:tc>
        <w:tc>
          <w:tcPr>
            <w:tcW w:w="947" w:type="dxa"/>
            <w:gridSpan w:val="2"/>
            <w:tcBorders>
              <w:top w:val="single" w:color="auto" w:sz="4" w:space="0"/>
              <w:left w:val="nil"/>
              <w:bottom w:val="single" w:color="auto" w:sz="4" w:space="0"/>
              <w:right w:val="single" w:color="auto" w:sz="4" w:space="0"/>
            </w:tcBorders>
            <w:vAlign w:val="center"/>
          </w:tcPr>
          <w:p w14:paraId="28C5A874">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2BCF971F">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皮山县乔达乡2025年农场村土地碎片化治理项目</w:t>
            </w:r>
          </w:p>
        </w:tc>
        <w:tc>
          <w:tcPr>
            <w:tcW w:w="1456" w:type="dxa"/>
            <w:tcBorders>
              <w:top w:val="single" w:color="auto" w:sz="4" w:space="0"/>
              <w:left w:val="nil"/>
              <w:bottom w:val="single" w:color="auto" w:sz="4" w:space="0"/>
              <w:right w:val="single" w:color="auto" w:sz="4" w:space="0"/>
            </w:tcBorders>
            <w:vAlign w:val="center"/>
          </w:tcPr>
          <w:p w14:paraId="7456BCBA">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2F873D6D">
            <w:pPr>
              <w:widowControl/>
              <w:jc w:val="center"/>
              <w:rPr>
                <w:rFonts w:ascii="宋体" w:hAnsi="宋体" w:eastAsia="宋体" w:cs="宋体"/>
                <w:bCs/>
                <w:kern w:val="0"/>
                <w:sz w:val="18"/>
                <w:szCs w:val="18"/>
              </w:rPr>
            </w:pPr>
            <w:r>
              <w:rPr>
                <w:rFonts w:ascii="宋体" w:hAnsi="宋体" w:eastAsia="宋体" w:cs="宋体"/>
                <w:bCs/>
                <w:kern w:val="0"/>
                <w:sz w:val="18"/>
                <w:szCs w:val="18"/>
              </w:rPr>
              <w:t>190</w:t>
            </w:r>
          </w:p>
        </w:tc>
      </w:tr>
      <w:tr w14:paraId="178B5FF5">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11EDB568">
            <w:pPr>
              <w:widowControl/>
              <w:jc w:val="center"/>
              <w:rPr>
                <w:rFonts w:ascii="宋体" w:hAnsi="宋体" w:eastAsia="宋体" w:cs="宋体"/>
                <w:bCs/>
                <w:kern w:val="0"/>
                <w:sz w:val="18"/>
                <w:szCs w:val="18"/>
              </w:rPr>
            </w:pPr>
            <w:r>
              <w:rPr>
                <w:rFonts w:ascii="宋体" w:hAnsi="宋体" w:eastAsia="宋体" w:cs="宋体"/>
                <w:bCs/>
                <w:kern w:val="0"/>
                <w:sz w:val="18"/>
                <w:szCs w:val="18"/>
              </w:rPr>
              <w:t>40</w:t>
            </w:r>
          </w:p>
        </w:tc>
        <w:tc>
          <w:tcPr>
            <w:tcW w:w="947" w:type="dxa"/>
            <w:gridSpan w:val="2"/>
            <w:tcBorders>
              <w:top w:val="single" w:color="auto" w:sz="4" w:space="0"/>
              <w:left w:val="nil"/>
              <w:bottom w:val="single" w:color="auto" w:sz="4" w:space="0"/>
              <w:right w:val="single" w:color="auto" w:sz="4" w:space="0"/>
            </w:tcBorders>
            <w:vAlign w:val="center"/>
          </w:tcPr>
          <w:p w14:paraId="7C81D424">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4A9B14C0">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皮山县科克铁热克镇污水处理管网建设项目</w:t>
            </w:r>
          </w:p>
        </w:tc>
        <w:tc>
          <w:tcPr>
            <w:tcW w:w="1456" w:type="dxa"/>
            <w:tcBorders>
              <w:top w:val="single" w:color="auto" w:sz="4" w:space="0"/>
              <w:left w:val="nil"/>
              <w:bottom w:val="single" w:color="auto" w:sz="4" w:space="0"/>
              <w:right w:val="single" w:color="auto" w:sz="4" w:space="0"/>
            </w:tcBorders>
            <w:vAlign w:val="center"/>
          </w:tcPr>
          <w:p w14:paraId="7DA97D92">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2111F491">
            <w:pPr>
              <w:widowControl/>
              <w:jc w:val="center"/>
              <w:rPr>
                <w:rFonts w:ascii="宋体" w:hAnsi="宋体" w:eastAsia="宋体" w:cs="宋体"/>
                <w:bCs/>
                <w:kern w:val="0"/>
                <w:sz w:val="18"/>
                <w:szCs w:val="18"/>
              </w:rPr>
            </w:pPr>
            <w:r>
              <w:rPr>
                <w:rFonts w:ascii="宋体" w:hAnsi="宋体" w:eastAsia="宋体" w:cs="宋体"/>
                <w:bCs/>
                <w:kern w:val="0"/>
                <w:sz w:val="18"/>
                <w:szCs w:val="18"/>
              </w:rPr>
              <w:t>950</w:t>
            </w:r>
          </w:p>
        </w:tc>
      </w:tr>
      <w:tr w14:paraId="07766ED1">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122EC1ED">
            <w:pPr>
              <w:widowControl/>
              <w:jc w:val="center"/>
              <w:rPr>
                <w:rFonts w:ascii="宋体" w:hAnsi="宋体" w:eastAsia="宋体" w:cs="宋体"/>
                <w:bCs/>
                <w:kern w:val="0"/>
                <w:sz w:val="18"/>
                <w:szCs w:val="18"/>
              </w:rPr>
            </w:pPr>
            <w:r>
              <w:rPr>
                <w:rFonts w:ascii="宋体" w:hAnsi="宋体" w:eastAsia="宋体" w:cs="宋体"/>
                <w:bCs/>
                <w:kern w:val="0"/>
                <w:sz w:val="18"/>
                <w:szCs w:val="18"/>
              </w:rPr>
              <w:t>41</w:t>
            </w:r>
          </w:p>
        </w:tc>
        <w:tc>
          <w:tcPr>
            <w:tcW w:w="947" w:type="dxa"/>
            <w:gridSpan w:val="2"/>
            <w:tcBorders>
              <w:top w:val="single" w:color="auto" w:sz="4" w:space="0"/>
              <w:left w:val="nil"/>
              <w:bottom w:val="single" w:color="auto" w:sz="4" w:space="0"/>
              <w:right w:val="single" w:color="auto" w:sz="4" w:space="0"/>
            </w:tcBorders>
            <w:vAlign w:val="center"/>
          </w:tcPr>
          <w:p w14:paraId="09693D53">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54D62CA6">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皮西那乡产业园区基础设施改造提升项目</w:t>
            </w:r>
          </w:p>
        </w:tc>
        <w:tc>
          <w:tcPr>
            <w:tcW w:w="1456" w:type="dxa"/>
            <w:tcBorders>
              <w:top w:val="single" w:color="auto" w:sz="4" w:space="0"/>
              <w:left w:val="nil"/>
              <w:bottom w:val="single" w:color="auto" w:sz="4" w:space="0"/>
              <w:right w:val="single" w:color="auto" w:sz="4" w:space="0"/>
            </w:tcBorders>
            <w:vAlign w:val="center"/>
          </w:tcPr>
          <w:p w14:paraId="44E23188">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030700C9">
            <w:pPr>
              <w:widowControl/>
              <w:jc w:val="center"/>
              <w:rPr>
                <w:rFonts w:ascii="宋体" w:hAnsi="宋体" w:eastAsia="宋体" w:cs="宋体"/>
                <w:bCs/>
                <w:kern w:val="0"/>
                <w:sz w:val="18"/>
                <w:szCs w:val="18"/>
              </w:rPr>
            </w:pPr>
            <w:r>
              <w:rPr>
                <w:rFonts w:ascii="宋体" w:hAnsi="宋体" w:eastAsia="宋体" w:cs="宋体"/>
                <w:bCs/>
                <w:kern w:val="0"/>
                <w:sz w:val="18"/>
                <w:szCs w:val="18"/>
              </w:rPr>
              <w:t>60</w:t>
            </w:r>
          </w:p>
        </w:tc>
      </w:tr>
      <w:tr w14:paraId="0E80262F">
        <w:tblPrEx>
          <w:tblCellMar>
            <w:top w:w="0" w:type="dxa"/>
            <w:left w:w="108" w:type="dxa"/>
            <w:bottom w:w="0" w:type="dxa"/>
            <w:right w:w="108" w:type="dxa"/>
          </w:tblCellMar>
        </w:tblPrEx>
        <w:trPr>
          <w:trHeight w:val="629"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06F40376">
            <w:pPr>
              <w:widowControl/>
              <w:jc w:val="center"/>
              <w:rPr>
                <w:rFonts w:ascii="宋体" w:hAnsi="宋体" w:eastAsia="宋体" w:cs="宋体"/>
                <w:bCs/>
                <w:kern w:val="0"/>
                <w:sz w:val="18"/>
                <w:szCs w:val="18"/>
              </w:rPr>
            </w:pPr>
            <w:r>
              <w:rPr>
                <w:rFonts w:ascii="宋体" w:hAnsi="宋体" w:eastAsia="宋体" w:cs="宋体"/>
                <w:bCs/>
                <w:kern w:val="0"/>
                <w:sz w:val="18"/>
                <w:szCs w:val="18"/>
              </w:rPr>
              <w:t>42</w:t>
            </w:r>
          </w:p>
        </w:tc>
        <w:tc>
          <w:tcPr>
            <w:tcW w:w="947" w:type="dxa"/>
            <w:gridSpan w:val="2"/>
            <w:tcBorders>
              <w:top w:val="single" w:color="auto" w:sz="4" w:space="0"/>
              <w:left w:val="nil"/>
              <w:bottom w:val="single" w:color="auto" w:sz="4" w:space="0"/>
              <w:right w:val="single" w:color="auto" w:sz="4" w:space="0"/>
            </w:tcBorders>
            <w:vAlign w:val="center"/>
          </w:tcPr>
          <w:p w14:paraId="2910C9A3">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54430B4E">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皮山县木奎拉乡和佳新村易地搬迁点后续扶持-水利配套建设项目</w:t>
            </w:r>
          </w:p>
        </w:tc>
        <w:tc>
          <w:tcPr>
            <w:tcW w:w="1456" w:type="dxa"/>
            <w:tcBorders>
              <w:top w:val="single" w:color="auto" w:sz="4" w:space="0"/>
              <w:left w:val="nil"/>
              <w:bottom w:val="single" w:color="auto" w:sz="4" w:space="0"/>
              <w:right w:val="single" w:color="auto" w:sz="4" w:space="0"/>
            </w:tcBorders>
            <w:vAlign w:val="center"/>
          </w:tcPr>
          <w:p w14:paraId="1938011F">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510F9A32">
            <w:pPr>
              <w:widowControl/>
              <w:jc w:val="center"/>
              <w:rPr>
                <w:rFonts w:ascii="宋体" w:hAnsi="宋体" w:eastAsia="宋体" w:cs="宋体"/>
                <w:bCs/>
                <w:kern w:val="0"/>
                <w:sz w:val="18"/>
                <w:szCs w:val="18"/>
              </w:rPr>
            </w:pPr>
            <w:r>
              <w:rPr>
                <w:rFonts w:ascii="宋体" w:hAnsi="宋体" w:eastAsia="宋体" w:cs="宋体"/>
                <w:bCs/>
                <w:kern w:val="0"/>
                <w:sz w:val="18"/>
                <w:szCs w:val="18"/>
              </w:rPr>
              <w:t>220</w:t>
            </w:r>
          </w:p>
        </w:tc>
      </w:tr>
      <w:tr w14:paraId="3A33B526">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5A17CF8D">
            <w:pPr>
              <w:widowControl/>
              <w:jc w:val="center"/>
              <w:rPr>
                <w:rFonts w:ascii="宋体" w:hAnsi="宋体" w:eastAsia="宋体" w:cs="宋体"/>
                <w:bCs/>
                <w:kern w:val="0"/>
                <w:sz w:val="18"/>
                <w:szCs w:val="18"/>
              </w:rPr>
            </w:pPr>
            <w:r>
              <w:rPr>
                <w:rFonts w:ascii="宋体" w:hAnsi="宋体" w:eastAsia="宋体" w:cs="宋体"/>
                <w:bCs/>
                <w:kern w:val="0"/>
                <w:sz w:val="18"/>
                <w:szCs w:val="18"/>
              </w:rPr>
              <w:t>43</w:t>
            </w:r>
          </w:p>
        </w:tc>
        <w:tc>
          <w:tcPr>
            <w:tcW w:w="947" w:type="dxa"/>
            <w:gridSpan w:val="2"/>
            <w:tcBorders>
              <w:top w:val="single" w:color="auto" w:sz="4" w:space="0"/>
              <w:left w:val="nil"/>
              <w:bottom w:val="single" w:color="auto" w:sz="4" w:space="0"/>
              <w:right w:val="single" w:color="auto" w:sz="4" w:space="0"/>
            </w:tcBorders>
            <w:vAlign w:val="center"/>
          </w:tcPr>
          <w:p w14:paraId="26F7C595">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71AA7433">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皮山县科克铁热克镇2025年水利设施提升改造项目</w:t>
            </w:r>
          </w:p>
        </w:tc>
        <w:tc>
          <w:tcPr>
            <w:tcW w:w="1456" w:type="dxa"/>
            <w:tcBorders>
              <w:top w:val="single" w:color="auto" w:sz="4" w:space="0"/>
              <w:left w:val="nil"/>
              <w:bottom w:val="single" w:color="auto" w:sz="4" w:space="0"/>
              <w:right w:val="single" w:color="auto" w:sz="4" w:space="0"/>
            </w:tcBorders>
            <w:vAlign w:val="center"/>
          </w:tcPr>
          <w:p w14:paraId="48331068">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36857740">
            <w:pPr>
              <w:widowControl/>
              <w:jc w:val="center"/>
              <w:rPr>
                <w:rFonts w:ascii="宋体" w:hAnsi="宋体" w:eastAsia="宋体" w:cs="宋体"/>
                <w:bCs/>
                <w:kern w:val="0"/>
                <w:sz w:val="18"/>
                <w:szCs w:val="18"/>
              </w:rPr>
            </w:pPr>
            <w:r>
              <w:rPr>
                <w:rFonts w:ascii="宋体" w:hAnsi="宋体" w:eastAsia="宋体" w:cs="宋体"/>
                <w:bCs/>
                <w:kern w:val="0"/>
                <w:sz w:val="18"/>
                <w:szCs w:val="18"/>
              </w:rPr>
              <w:t>650</w:t>
            </w:r>
          </w:p>
        </w:tc>
      </w:tr>
      <w:tr w14:paraId="480F2FBE">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2AE40DBF">
            <w:pPr>
              <w:widowControl/>
              <w:jc w:val="center"/>
              <w:rPr>
                <w:rFonts w:ascii="宋体" w:hAnsi="宋体" w:eastAsia="宋体" w:cs="宋体"/>
                <w:bCs/>
                <w:kern w:val="0"/>
                <w:sz w:val="18"/>
                <w:szCs w:val="18"/>
              </w:rPr>
            </w:pPr>
            <w:r>
              <w:rPr>
                <w:rFonts w:ascii="宋体" w:hAnsi="宋体" w:eastAsia="宋体" w:cs="宋体"/>
                <w:bCs/>
                <w:kern w:val="0"/>
                <w:sz w:val="18"/>
                <w:szCs w:val="18"/>
              </w:rPr>
              <w:t>44</w:t>
            </w:r>
          </w:p>
        </w:tc>
        <w:tc>
          <w:tcPr>
            <w:tcW w:w="947" w:type="dxa"/>
            <w:gridSpan w:val="2"/>
            <w:tcBorders>
              <w:top w:val="single" w:color="auto" w:sz="4" w:space="0"/>
              <w:left w:val="nil"/>
              <w:bottom w:val="single" w:color="auto" w:sz="4" w:space="0"/>
              <w:right w:val="single" w:color="auto" w:sz="4" w:space="0"/>
            </w:tcBorders>
            <w:vAlign w:val="center"/>
          </w:tcPr>
          <w:p w14:paraId="4BA6ADE9">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3E73775C">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皮山县克里阳乡2025年小型农田水利建设项目</w:t>
            </w:r>
          </w:p>
        </w:tc>
        <w:tc>
          <w:tcPr>
            <w:tcW w:w="1456" w:type="dxa"/>
            <w:tcBorders>
              <w:top w:val="single" w:color="auto" w:sz="4" w:space="0"/>
              <w:left w:val="nil"/>
              <w:bottom w:val="single" w:color="auto" w:sz="4" w:space="0"/>
              <w:right w:val="single" w:color="auto" w:sz="4" w:space="0"/>
            </w:tcBorders>
            <w:vAlign w:val="center"/>
          </w:tcPr>
          <w:p w14:paraId="7D82C4B6">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69531B1D">
            <w:pPr>
              <w:widowControl/>
              <w:jc w:val="center"/>
              <w:rPr>
                <w:rFonts w:ascii="宋体" w:hAnsi="宋体" w:eastAsia="宋体" w:cs="宋体"/>
                <w:bCs/>
                <w:kern w:val="0"/>
                <w:sz w:val="18"/>
                <w:szCs w:val="18"/>
              </w:rPr>
            </w:pPr>
            <w:r>
              <w:rPr>
                <w:rFonts w:ascii="宋体" w:hAnsi="宋体" w:eastAsia="宋体" w:cs="宋体"/>
                <w:bCs/>
                <w:kern w:val="0"/>
                <w:sz w:val="18"/>
                <w:szCs w:val="18"/>
              </w:rPr>
              <w:t>400</w:t>
            </w:r>
          </w:p>
        </w:tc>
      </w:tr>
      <w:tr w14:paraId="2BE381D5">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639AB962">
            <w:pPr>
              <w:widowControl/>
              <w:jc w:val="center"/>
              <w:rPr>
                <w:rFonts w:ascii="宋体" w:hAnsi="宋体" w:eastAsia="宋体" w:cs="宋体"/>
                <w:bCs/>
                <w:kern w:val="0"/>
                <w:sz w:val="18"/>
                <w:szCs w:val="18"/>
              </w:rPr>
            </w:pPr>
            <w:r>
              <w:rPr>
                <w:rFonts w:ascii="宋体" w:hAnsi="宋体" w:eastAsia="宋体" w:cs="宋体"/>
                <w:bCs/>
                <w:kern w:val="0"/>
                <w:sz w:val="18"/>
                <w:szCs w:val="18"/>
              </w:rPr>
              <w:t>45</w:t>
            </w:r>
          </w:p>
        </w:tc>
        <w:tc>
          <w:tcPr>
            <w:tcW w:w="947" w:type="dxa"/>
            <w:gridSpan w:val="2"/>
            <w:tcBorders>
              <w:top w:val="single" w:color="auto" w:sz="4" w:space="0"/>
              <w:left w:val="nil"/>
              <w:bottom w:val="single" w:color="auto" w:sz="4" w:space="0"/>
              <w:right w:val="single" w:color="auto" w:sz="4" w:space="0"/>
            </w:tcBorders>
            <w:vAlign w:val="center"/>
          </w:tcPr>
          <w:p w14:paraId="568FB8D5">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7FD50432">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皮山县木奎拉乡2025年小型农田水利建设项目</w:t>
            </w:r>
          </w:p>
        </w:tc>
        <w:tc>
          <w:tcPr>
            <w:tcW w:w="1456" w:type="dxa"/>
            <w:tcBorders>
              <w:top w:val="single" w:color="auto" w:sz="4" w:space="0"/>
              <w:left w:val="nil"/>
              <w:bottom w:val="single" w:color="auto" w:sz="4" w:space="0"/>
              <w:right w:val="single" w:color="auto" w:sz="4" w:space="0"/>
            </w:tcBorders>
            <w:vAlign w:val="center"/>
          </w:tcPr>
          <w:p w14:paraId="1FFB3CF5">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6FE3F051">
            <w:pPr>
              <w:widowControl/>
              <w:jc w:val="center"/>
              <w:rPr>
                <w:rFonts w:ascii="宋体" w:hAnsi="宋体" w:eastAsia="宋体" w:cs="宋体"/>
                <w:bCs/>
                <w:kern w:val="0"/>
                <w:sz w:val="18"/>
                <w:szCs w:val="18"/>
              </w:rPr>
            </w:pPr>
            <w:r>
              <w:rPr>
                <w:rFonts w:ascii="宋体" w:hAnsi="宋体" w:eastAsia="宋体" w:cs="宋体"/>
                <w:bCs/>
                <w:kern w:val="0"/>
                <w:sz w:val="18"/>
                <w:szCs w:val="18"/>
              </w:rPr>
              <w:t>400</w:t>
            </w:r>
          </w:p>
        </w:tc>
      </w:tr>
      <w:tr w14:paraId="64BC0738">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6AF5E6D0">
            <w:pPr>
              <w:widowControl/>
              <w:jc w:val="center"/>
              <w:rPr>
                <w:rFonts w:ascii="宋体" w:hAnsi="宋体" w:eastAsia="宋体" w:cs="宋体"/>
                <w:bCs/>
                <w:kern w:val="0"/>
                <w:sz w:val="18"/>
                <w:szCs w:val="18"/>
              </w:rPr>
            </w:pPr>
            <w:r>
              <w:rPr>
                <w:rFonts w:ascii="宋体" w:hAnsi="宋体" w:eastAsia="宋体" w:cs="宋体"/>
                <w:bCs/>
                <w:kern w:val="0"/>
                <w:sz w:val="18"/>
                <w:szCs w:val="18"/>
              </w:rPr>
              <w:t>46</w:t>
            </w:r>
          </w:p>
        </w:tc>
        <w:tc>
          <w:tcPr>
            <w:tcW w:w="947" w:type="dxa"/>
            <w:gridSpan w:val="2"/>
            <w:tcBorders>
              <w:top w:val="single" w:color="auto" w:sz="4" w:space="0"/>
              <w:left w:val="nil"/>
              <w:bottom w:val="single" w:color="auto" w:sz="4" w:space="0"/>
              <w:right w:val="single" w:color="auto" w:sz="4" w:space="0"/>
            </w:tcBorders>
            <w:vAlign w:val="center"/>
          </w:tcPr>
          <w:p w14:paraId="58A6BAF9">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39CAC55E">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皮山县皮西那乡2025年小型农田水利建设项目</w:t>
            </w:r>
          </w:p>
        </w:tc>
        <w:tc>
          <w:tcPr>
            <w:tcW w:w="1456" w:type="dxa"/>
            <w:tcBorders>
              <w:top w:val="single" w:color="auto" w:sz="4" w:space="0"/>
              <w:left w:val="nil"/>
              <w:bottom w:val="single" w:color="auto" w:sz="4" w:space="0"/>
              <w:right w:val="single" w:color="auto" w:sz="4" w:space="0"/>
            </w:tcBorders>
            <w:vAlign w:val="center"/>
          </w:tcPr>
          <w:p w14:paraId="5E71D4F7">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7EFDE118">
            <w:pPr>
              <w:widowControl/>
              <w:jc w:val="center"/>
              <w:rPr>
                <w:rFonts w:ascii="宋体" w:hAnsi="宋体" w:eastAsia="宋体" w:cs="宋体"/>
                <w:bCs/>
                <w:kern w:val="0"/>
                <w:sz w:val="18"/>
                <w:szCs w:val="18"/>
              </w:rPr>
            </w:pPr>
            <w:r>
              <w:rPr>
                <w:rFonts w:ascii="宋体" w:hAnsi="宋体" w:eastAsia="宋体" w:cs="宋体"/>
                <w:bCs/>
                <w:kern w:val="0"/>
                <w:sz w:val="18"/>
                <w:szCs w:val="18"/>
              </w:rPr>
              <w:t>400</w:t>
            </w:r>
          </w:p>
        </w:tc>
      </w:tr>
      <w:tr w14:paraId="39EEA4E4">
        <w:tblPrEx>
          <w:tblCellMar>
            <w:top w:w="0" w:type="dxa"/>
            <w:left w:w="108" w:type="dxa"/>
            <w:bottom w:w="0" w:type="dxa"/>
            <w:right w:w="108" w:type="dxa"/>
          </w:tblCellMar>
        </w:tblPrEx>
        <w:trPr>
          <w:trHeight w:val="340" w:hRule="atLeast"/>
          <w:jc w:val="center"/>
        </w:trPr>
        <w:tc>
          <w:tcPr>
            <w:tcW w:w="420" w:type="dxa"/>
            <w:tcBorders>
              <w:top w:val="single" w:color="auto" w:sz="4" w:space="0"/>
              <w:left w:val="single" w:color="auto" w:sz="4" w:space="0"/>
              <w:bottom w:val="single" w:color="auto" w:sz="4" w:space="0"/>
              <w:right w:val="single" w:color="auto" w:sz="4" w:space="0"/>
            </w:tcBorders>
            <w:noWrap/>
            <w:vAlign w:val="center"/>
          </w:tcPr>
          <w:p w14:paraId="4EA60DBC">
            <w:pPr>
              <w:widowControl/>
              <w:jc w:val="center"/>
              <w:rPr>
                <w:rFonts w:ascii="宋体" w:hAnsi="宋体" w:eastAsia="宋体" w:cs="宋体"/>
                <w:bCs/>
                <w:kern w:val="0"/>
                <w:sz w:val="18"/>
                <w:szCs w:val="18"/>
              </w:rPr>
            </w:pPr>
            <w:r>
              <w:rPr>
                <w:rFonts w:ascii="宋体" w:hAnsi="宋体" w:eastAsia="宋体" w:cs="宋体"/>
                <w:bCs/>
                <w:kern w:val="0"/>
                <w:sz w:val="18"/>
                <w:szCs w:val="18"/>
              </w:rPr>
              <w:t>47</w:t>
            </w:r>
          </w:p>
        </w:tc>
        <w:tc>
          <w:tcPr>
            <w:tcW w:w="947" w:type="dxa"/>
            <w:gridSpan w:val="2"/>
            <w:tcBorders>
              <w:top w:val="single" w:color="auto" w:sz="4" w:space="0"/>
              <w:left w:val="nil"/>
              <w:bottom w:val="single" w:color="auto" w:sz="4" w:space="0"/>
              <w:right w:val="single" w:color="auto" w:sz="4" w:space="0"/>
            </w:tcBorders>
            <w:vAlign w:val="center"/>
          </w:tcPr>
          <w:p w14:paraId="19E82059">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5026" w:type="dxa"/>
            <w:gridSpan w:val="2"/>
            <w:tcBorders>
              <w:top w:val="single" w:color="auto" w:sz="4" w:space="0"/>
              <w:left w:val="nil"/>
              <w:bottom w:val="single" w:color="auto" w:sz="4" w:space="0"/>
              <w:right w:val="single" w:color="auto" w:sz="4" w:space="0"/>
            </w:tcBorders>
            <w:vAlign w:val="center"/>
          </w:tcPr>
          <w:p w14:paraId="001F5347">
            <w:pPr>
              <w:widowControl/>
              <w:spacing w:line="0" w:lineRule="atLeast"/>
              <w:jc w:val="center"/>
              <w:rPr>
                <w:rFonts w:ascii="宋体" w:hAnsi="宋体" w:eastAsia="宋体" w:cs="宋体"/>
                <w:bCs/>
                <w:kern w:val="0"/>
                <w:sz w:val="18"/>
                <w:szCs w:val="18"/>
              </w:rPr>
            </w:pPr>
            <w:r>
              <w:rPr>
                <w:rFonts w:hint="eastAsia" w:ascii="宋体" w:hAnsi="宋体" w:eastAsia="宋体" w:cs="宋体"/>
                <w:bCs/>
                <w:kern w:val="0"/>
                <w:sz w:val="18"/>
                <w:szCs w:val="18"/>
              </w:rPr>
              <w:t>皮山县2025年皮山河、桑株河农田灌溉渠道巩固提升工程</w:t>
            </w:r>
          </w:p>
        </w:tc>
        <w:tc>
          <w:tcPr>
            <w:tcW w:w="1456" w:type="dxa"/>
            <w:tcBorders>
              <w:top w:val="single" w:color="auto" w:sz="4" w:space="0"/>
              <w:left w:val="nil"/>
              <w:bottom w:val="single" w:color="auto" w:sz="4" w:space="0"/>
              <w:right w:val="single" w:color="auto" w:sz="4" w:space="0"/>
            </w:tcBorders>
            <w:vAlign w:val="center"/>
          </w:tcPr>
          <w:p w14:paraId="0D80BD41">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衔接资金</w:t>
            </w:r>
          </w:p>
        </w:tc>
        <w:tc>
          <w:tcPr>
            <w:tcW w:w="1097" w:type="dxa"/>
            <w:tcBorders>
              <w:top w:val="single" w:color="auto" w:sz="4" w:space="0"/>
              <w:left w:val="nil"/>
              <w:bottom w:val="single" w:color="auto" w:sz="4" w:space="0"/>
              <w:right w:val="single" w:color="auto" w:sz="4" w:space="0"/>
            </w:tcBorders>
            <w:vAlign w:val="center"/>
          </w:tcPr>
          <w:p w14:paraId="1145DCD2">
            <w:pPr>
              <w:widowControl/>
              <w:jc w:val="center"/>
              <w:rPr>
                <w:rFonts w:ascii="宋体" w:hAnsi="宋体" w:eastAsia="宋体" w:cs="宋体"/>
                <w:bCs/>
                <w:kern w:val="0"/>
                <w:sz w:val="18"/>
                <w:szCs w:val="18"/>
              </w:rPr>
            </w:pPr>
            <w:r>
              <w:rPr>
                <w:rFonts w:ascii="宋体" w:hAnsi="宋体" w:eastAsia="宋体" w:cs="宋体"/>
                <w:bCs/>
                <w:kern w:val="0"/>
                <w:sz w:val="18"/>
                <w:szCs w:val="18"/>
              </w:rPr>
              <w:t>1200</w:t>
            </w:r>
          </w:p>
        </w:tc>
      </w:tr>
    </w:tbl>
    <w:p w14:paraId="31B9813C">
      <w:pPr>
        <w:pStyle w:val="4"/>
        <w:keepLines w:val="0"/>
        <w:topLinePunct/>
        <w:spacing w:before="0" w:after="0" w:line="540" w:lineRule="exact"/>
        <w:ind w:firstLine="632" w:firstLineChars="210"/>
        <w:rPr>
          <w:rFonts w:eastAsia="宋体"/>
          <w:sz w:val="30"/>
          <w:szCs w:val="30"/>
        </w:rPr>
      </w:pPr>
      <w:bookmarkStart w:id="6" w:name="_Toc237987568"/>
      <w:r>
        <w:rPr>
          <w:rFonts w:hint="eastAsia" w:eastAsia="宋体"/>
          <w:sz w:val="30"/>
          <w:szCs w:val="30"/>
        </w:rPr>
        <w:t>（二）</w:t>
      </w:r>
      <w:bookmarkStart w:id="7" w:name="OLE_LINK7"/>
      <w:bookmarkStart w:id="8" w:name="OLE_LINK12"/>
      <w:r>
        <w:rPr>
          <w:rFonts w:hint="eastAsia" w:eastAsia="宋体"/>
          <w:sz w:val="30"/>
          <w:szCs w:val="30"/>
        </w:rPr>
        <w:t>特色种植业</w:t>
      </w:r>
      <w:bookmarkEnd w:id="7"/>
      <w:bookmarkEnd w:id="8"/>
      <w:r>
        <w:rPr>
          <w:rFonts w:hint="eastAsia" w:eastAsia="宋体"/>
          <w:sz w:val="30"/>
          <w:szCs w:val="30"/>
        </w:rPr>
        <w:t>跨越式发展</w:t>
      </w:r>
      <w:bookmarkEnd w:id="6"/>
    </w:p>
    <w:p w14:paraId="63A26242">
      <w:pPr>
        <w:spacing w:line="580" w:lineRule="exact"/>
        <w:ind w:firstLine="560" w:firstLineChars="200"/>
        <w:rPr>
          <w:sz w:val="28"/>
        </w:rPr>
      </w:pPr>
      <w:r>
        <w:rPr>
          <w:rFonts w:hint="eastAsia"/>
          <w:sz w:val="28"/>
        </w:rPr>
        <w:t>2025年全县种植各类特色经济作物10.51万亩，其中中药材7.07万亩（大芸1.3万亩、雪菊0.13万亩、香青兰0.05万亩、孜然1.74万亩、藿香0.01万亩、毛菊苣0.07万亩、甘草0.01万亩、瓜蒌3.74万亩、洋姜0.01万亩），特色作物2.33万亩（其中，色素辣椒0.05万亩、朝天椒0.1万亩、西瓜0.07万亩、甜瓜0.06万亩、打瓜0.06万亩、食葵1.98万亩），油料作物1.11万亩（花生0.06万亩，油菜0.83万亩、油葵0.18万亩，红花0.04万亩），豆类0.12万亩。</w:t>
      </w:r>
    </w:p>
    <w:p w14:paraId="1896805F">
      <w:pPr>
        <w:spacing w:line="580" w:lineRule="exact"/>
        <w:ind w:firstLine="560" w:firstLineChars="200"/>
        <w:rPr>
          <w:sz w:val="28"/>
        </w:rPr>
      </w:pPr>
      <w:r>
        <w:rPr>
          <w:rFonts w:hint="eastAsia"/>
          <w:sz w:val="28"/>
        </w:rPr>
        <w:t>蔬菜产量达到</w:t>
      </w:r>
      <w:r>
        <w:rPr>
          <w:sz w:val="28"/>
        </w:rPr>
        <w:t>3.29</w:t>
      </w:r>
      <w:r>
        <w:rPr>
          <w:rFonts w:hint="eastAsia"/>
          <w:sz w:val="28"/>
        </w:rPr>
        <w:t>万吨；实施石榴、杏、核桃等特色林果业提质改造工程40.5万亩，较“十三五”末增加1.97万吨，总产值突破18亿大关。在保障粮食安全前提下，以皮山明星杏、皮亚曼石榴、克里阳雪菊、瓜蒌、核桃等特色作物为主导，皮山红羊、瓜蒌、皮山明星杏等产业成为核心增长极，聚焦“稳粮、强畜、优果、兴特色”核心任务，借力援疆政策与科技赋能，推动荒漠农牧业向高附加值生态产业转型，在产业发展、基础设施、生态治理、民生改善等领域取得显著成就，2025年农村居民人均可支配收入为13990元，已形成“特色种植-生态畜牧-循环加工-品牌文旅”的全链发展模式，为乡村振兴奠定了坚实基础。</w:t>
      </w:r>
    </w:p>
    <w:p w14:paraId="6363282C">
      <w:pPr>
        <w:spacing w:line="580" w:lineRule="exact"/>
        <w:ind w:firstLine="560" w:firstLineChars="200"/>
        <w:rPr>
          <w:sz w:val="28"/>
        </w:rPr>
      </w:pPr>
      <w:r>
        <w:rPr>
          <w:rFonts w:hint="eastAsia"/>
          <w:sz w:val="28"/>
        </w:rPr>
        <w:t>援疆企业在皮山县藏桂乡建成1.3万亩瓜蒌规模化种植基地，创新采用“架瓜蒌+地瓜蒌”双模式，采用“有机肥+滴灌”，亩产青瓜1.5吨，综合产值预计达2亿元，实现瓜蒌籽、瓜蒌皮（中药材）、瓜蒌根（天花粉原料）及瓜瓤（酿酒）的全利用，每亩综合产值显著高于传统作物。提供2300个就业岗位，技术培训推动农民转型为产业工人。在戈壁滩试种地瓜蒌，探索荒漠锁边治理；瓜蒌根系固沙改良土壤，配套有机肥厂实现循环生产，实现生态与经济双赢。</w:t>
      </w:r>
    </w:p>
    <w:p w14:paraId="3400ED1B">
      <w:pPr>
        <w:pStyle w:val="4"/>
        <w:keepLines w:val="0"/>
        <w:topLinePunct/>
        <w:spacing w:before="0" w:after="0" w:line="540" w:lineRule="exact"/>
        <w:ind w:firstLine="632" w:firstLineChars="210"/>
        <w:rPr>
          <w:rFonts w:eastAsia="宋体"/>
          <w:sz w:val="30"/>
          <w:szCs w:val="30"/>
        </w:rPr>
      </w:pPr>
      <w:bookmarkStart w:id="9" w:name="_Toc237987569"/>
      <w:r>
        <w:rPr>
          <w:rFonts w:hint="eastAsia" w:eastAsia="宋体"/>
          <w:sz w:val="30"/>
          <w:szCs w:val="30"/>
        </w:rPr>
        <w:t>（三）畜牧业转型升级</w:t>
      </w:r>
      <w:bookmarkEnd w:id="9"/>
    </w:p>
    <w:p w14:paraId="6328B81E">
      <w:pPr>
        <w:spacing w:line="580" w:lineRule="exact"/>
        <w:ind w:firstLine="560" w:firstLineChars="200"/>
        <w:rPr>
          <w:sz w:val="28"/>
        </w:rPr>
      </w:pPr>
      <w:r>
        <w:rPr>
          <w:rFonts w:hint="eastAsia"/>
          <w:sz w:val="28"/>
        </w:rPr>
        <w:t>皮山县将畜牧业作为农业农村经济的支柱产业和农民增收的重要途径，以品种培优、品质提升、品牌打造为核心，以规模化养殖、标准化生产、产业化经营为方向，推动畜牧业转型升级和高质量发展，取得了显著成效。</w:t>
      </w:r>
    </w:p>
    <w:p w14:paraId="17727DF8">
      <w:pPr>
        <w:spacing w:line="580" w:lineRule="exact"/>
        <w:ind w:firstLine="562" w:firstLineChars="200"/>
        <w:rPr>
          <w:b/>
          <w:sz w:val="28"/>
        </w:rPr>
      </w:pPr>
      <w:r>
        <w:rPr>
          <w:b/>
          <w:sz w:val="28"/>
        </w:rPr>
        <w:t>1</w:t>
      </w:r>
      <w:r>
        <w:rPr>
          <w:rFonts w:hint="eastAsia"/>
          <w:b/>
          <w:sz w:val="28"/>
        </w:rPr>
        <w:t>、养殖规模现状</w:t>
      </w:r>
    </w:p>
    <w:p w14:paraId="4198748E">
      <w:pPr>
        <w:spacing w:line="580" w:lineRule="exact"/>
        <w:ind w:firstLine="560" w:firstLineChars="200"/>
        <w:rPr>
          <w:sz w:val="28"/>
        </w:rPr>
      </w:pPr>
      <w:r>
        <w:rPr>
          <w:rFonts w:hint="eastAsia"/>
          <w:sz w:val="28"/>
        </w:rPr>
        <w:t>“十四五”末，全县牲畜总存栏量达到78.77万头（只）。其中，羊存栏71.79万只。皮山红羊、和田羊等地方优良品种为核心，多胎羊存栏20.47万只，占绵羊存栏总量的29.1%，良种覆盖率显著提升。牛存栏5.55万头，其中奶牛1.52万头；骆驼存栏6,026峰；驴存栏6,686匹，和田青驴地方品种得到有效保护；家禽存栏123.45万羽，其中鸡109.20万羽（蛋鸡13.34万羽、肉鸡78.35万羽、土鸡17.56万羽）、鸭3.76万羽、鹅11.32万羽；鸽子存栏29.20万羽、兔存栏7.83万只。</w:t>
      </w:r>
    </w:p>
    <w:p w14:paraId="6EE0E87E">
      <w:pPr>
        <w:spacing w:line="580" w:lineRule="exact"/>
        <w:ind w:firstLine="562" w:firstLineChars="200"/>
        <w:rPr>
          <w:b/>
          <w:sz w:val="28"/>
        </w:rPr>
      </w:pPr>
      <w:r>
        <w:rPr>
          <w:b/>
          <w:sz w:val="28"/>
        </w:rPr>
        <w:t>2</w:t>
      </w:r>
      <w:r>
        <w:rPr>
          <w:rFonts w:hint="eastAsia"/>
          <w:b/>
          <w:sz w:val="28"/>
        </w:rPr>
        <w:t>、品种培育成果显著</w:t>
      </w:r>
      <w:bookmarkStart w:id="126" w:name="_GoBack"/>
      <w:bookmarkEnd w:id="126"/>
    </w:p>
    <w:p w14:paraId="336D6A1C">
      <w:pPr>
        <w:spacing w:line="580" w:lineRule="exact"/>
        <w:ind w:firstLine="560" w:firstLineChars="200"/>
        <w:rPr>
          <w:sz w:val="28"/>
        </w:rPr>
      </w:pPr>
      <w:r>
        <w:rPr>
          <w:rFonts w:hint="eastAsia"/>
          <w:sz w:val="28"/>
        </w:rPr>
        <w:t>皮山红羊成功入选国家多胎绵羊基因库，成为当地畜牧业特色品种。该品种抗逆性、抗病力较强，在粗放饲养条件下仍能保持较高繁殖性能，农户散养条件下产羔率达129.59%，规模化饲养条件下产羔率达190%。</w:t>
      </w:r>
    </w:p>
    <w:p w14:paraId="043234E1">
      <w:pPr>
        <w:spacing w:line="580" w:lineRule="exact"/>
        <w:ind w:firstLine="562" w:firstLineChars="200"/>
        <w:rPr>
          <w:b/>
          <w:sz w:val="28"/>
        </w:rPr>
      </w:pPr>
      <w:r>
        <w:rPr>
          <w:rFonts w:hint="eastAsia"/>
          <w:b/>
          <w:sz w:val="28"/>
        </w:rPr>
        <w:t>3、产业模式逐步完善</w:t>
      </w:r>
    </w:p>
    <w:p w14:paraId="46EC8FAB">
      <w:pPr>
        <w:spacing w:line="580" w:lineRule="exact"/>
        <w:ind w:firstLine="560" w:firstLineChars="200"/>
        <w:rPr>
          <w:sz w:val="28"/>
        </w:rPr>
      </w:pPr>
      <w:r>
        <w:rPr>
          <w:rFonts w:hint="eastAsia"/>
          <w:sz w:val="28"/>
        </w:rPr>
        <w:t>采取“企业+合作社+养殖户+农户”模式，企业提供技术、加工与销售保障，农户零风险参与养殖，推动畜牧全产业链发展。建成占地近300亩的皮山红羊繁殖种羊场，带动周边农户参与养殖，并提供技术指导和优质饲料。2024-2025年皮山县在畜牧方面累计安排乡村振兴衔接资金约2.5亿元，其中2025年安排资金约1.5亿元（含产业帮扶到户项目14,063万元、畜牧兽医社会化服务网点建设项目735.75万元、国营牧场产业发展项目92万元等），受益农户达5万余户。</w:t>
      </w:r>
    </w:p>
    <w:p w14:paraId="6C64CBFC">
      <w:pPr>
        <w:spacing w:line="580" w:lineRule="exact"/>
        <w:ind w:firstLine="562" w:firstLineChars="200"/>
        <w:rPr>
          <w:b/>
          <w:sz w:val="28"/>
        </w:rPr>
      </w:pPr>
      <w:r>
        <w:rPr>
          <w:rFonts w:hint="eastAsia"/>
          <w:b/>
          <w:sz w:val="28"/>
        </w:rPr>
        <w:t>4、“五大产业”带动乡村振兴</w:t>
      </w:r>
    </w:p>
    <w:p w14:paraId="4D3C8316">
      <w:pPr>
        <w:spacing w:line="580" w:lineRule="exact"/>
        <w:ind w:firstLine="560" w:firstLineChars="200"/>
        <w:rPr>
          <w:sz w:val="28"/>
        </w:rPr>
      </w:pPr>
      <w:r>
        <w:rPr>
          <w:rFonts w:hint="eastAsia"/>
          <w:sz w:val="28"/>
        </w:rPr>
        <w:t>驴、鹅、兔、羊、食用菌五大产业带动3.1万户近12万人增收。</w:t>
      </w:r>
    </w:p>
    <w:p w14:paraId="522B1C44">
      <w:pPr>
        <w:spacing w:line="580" w:lineRule="exact"/>
        <w:jc w:val="center"/>
        <w:rPr>
          <w:b/>
          <w:sz w:val="28"/>
        </w:rPr>
      </w:pPr>
      <w:r>
        <w:rPr>
          <w:rFonts w:hint="eastAsia"/>
          <w:b/>
          <w:sz w:val="28"/>
        </w:rPr>
        <w:t>表1-4 “十四五”期间完成“五大产业”建设项目统计表</w:t>
      </w:r>
    </w:p>
    <w:tbl>
      <w:tblPr>
        <w:tblStyle w:val="25"/>
        <w:tblW w:w="8946" w:type="dxa"/>
        <w:tblInd w:w="0" w:type="dxa"/>
        <w:tblLayout w:type="fixed"/>
        <w:tblCellMar>
          <w:top w:w="0" w:type="dxa"/>
          <w:left w:w="108" w:type="dxa"/>
          <w:bottom w:w="0" w:type="dxa"/>
          <w:right w:w="108" w:type="dxa"/>
        </w:tblCellMar>
      </w:tblPr>
      <w:tblGrid>
        <w:gridCol w:w="427"/>
        <w:gridCol w:w="961"/>
        <w:gridCol w:w="4947"/>
        <w:gridCol w:w="1650"/>
        <w:gridCol w:w="961"/>
      </w:tblGrid>
      <w:tr w14:paraId="46A885E8">
        <w:tblPrEx>
          <w:tblCellMar>
            <w:top w:w="0" w:type="dxa"/>
            <w:left w:w="108" w:type="dxa"/>
            <w:bottom w:w="0" w:type="dxa"/>
            <w:right w:w="108" w:type="dxa"/>
          </w:tblCellMar>
        </w:tblPrEx>
        <w:trPr>
          <w:trHeight w:val="473" w:hRule="atLeast"/>
        </w:trPr>
        <w:tc>
          <w:tcPr>
            <w:tcW w:w="427" w:type="dxa"/>
            <w:tcBorders>
              <w:top w:val="single" w:color="auto" w:sz="4" w:space="0"/>
              <w:left w:val="single" w:color="auto" w:sz="4" w:space="0"/>
              <w:bottom w:val="single" w:color="auto" w:sz="4" w:space="0"/>
              <w:right w:val="single" w:color="auto" w:sz="4" w:space="0"/>
            </w:tcBorders>
            <w:vAlign w:val="center"/>
          </w:tcPr>
          <w:p w14:paraId="628FC0DF">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961" w:type="dxa"/>
            <w:tcBorders>
              <w:top w:val="single" w:color="auto" w:sz="4" w:space="0"/>
              <w:left w:val="nil"/>
              <w:bottom w:val="single" w:color="auto" w:sz="4" w:space="0"/>
              <w:right w:val="single" w:color="auto" w:sz="4" w:space="0"/>
            </w:tcBorders>
            <w:vAlign w:val="center"/>
          </w:tcPr>
          <w:p w14:paraId="3CFCBB62">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年度</w:t>
            </w:r>
          </w:p>
        </w:tc>
        <w:tc>
          <w:tcPr>
            <w:tcW w:w="4947" w:type="dxa"/>
            <w:tcBorders>
              <w:top w:val="single" w:color="auto" w:sz="4" w:space="0"/>
              <w:left w:val="nil"/>
              <w:bottom w:val="single" w:color="auto" w:sz="4" w:space="0"/>
              <w:right w:val="single" w:color="auto" w:sz="4" w:space="0"/>
            </w:tcBorders>
            <w:vAlign w:val="center"/>
          </w:tcPr>
          <w:p w14:paraId="541F1449">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项目名称</w:t>
            </w:r>
          </w:p>
        </w:tc>
        <w:tc>
          <w:tcPr>
            <w:tcW w:w="1650" w:type="dxa"/>
            <w:tcBorders>
              <w:top w:val="single" w:color="auto" w:sz="4" w:space="0"/>
              <w:left w:val="nil"/>
              <w:bottom w:val="single" w:color="auto" w:sz="4" w:space="0"/>
              <w:right w:val="single" w:color="auto" w:sz="4" w:space="0"/>
            </w:tcBorders>
            <w:vAlign w:val="center"/>
          </w:tcPr>
          <w:p w14:paraId="08DEC3F5">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资金来源</w:t>
            </w:r>
          </w:p>
        </w:tc>
        <w:tc>
          <w:tcPr>
            <w:tcW w:w="961" w:type="dxa"/>
            <w:tcBorders>
              <w:top w:val="single" w:color="auto" w:sz="4" w:space="0"/>
              <w:left w:val="nil"/>
              <w:bottom w:val="single" w:color="auto" w:sz="4" w:space="0"/>
              <w:right w:val="single" w:color="auto" w:sz="4" w:space="0"/>
            </w:tcBorders>
            <w:vAlign w:val="center"/>
          </w:tcPr>
          <w:p w14:paraId="3E74ABDE">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总投资</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(万元)</w:t>
            </w:r>
          </w:p>
        </w:tc>
      </w:tr>
      <w:tr w14:paraId="5D5F7F00">
        <w:tblPrEx>
          <w:tblCellMar>
            <w:top w:w="0" w:type="dxa"/>
            <w:left w:w="108" w:type="dxa"/>
            <w:bottom w:w="0" w:type="dxa"/>
            <w:right w:w="108" w:type="dxa"/>
          </w:tblCellMar>
        </w:tblPrEx>
        <w:trPr>
          <w:trHeight w:val="301" w:hRule="atLeast"/>
        </w:trPr>
        <w:tc>
          <w:tcPr>
            <w:tcW w:w="6335" w:type="dxa"/>
            <w:gridSpan w:val="3"/>
            <w:tcBorders>
              <w:top w:val="single" w:color="auto" w:sz="4" w:space="0"/>
              <w:left w:val="single" w:color="auto" w:sz="4" w:space="0"/>
              <w:bottom w:val="single" w:color="auto" w:sz="4" w:space="0"/>
              <w:right w:val="single" w:color="auto" w:sz="4" w:space="0"/>
            </w:tcBorders>
            <w:vAlign w:val="center"/>
          </w:tcPr>
          <w:p w14:paraId="2FF7D3A2">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合计：</w:t>
            </w:r>
            <w:r>
              <w:rPr>
                <w:rFonts w:ascii="宋体" w:hAnsi="宋体" w:eastAsia="宋体" w:cs="宋体"/>
                <w:b/>
                <w:bCs/>
                <w:kern w:val="0"/>
                <w:sz w:val="18"/>
                <w:szCs w:val="18"/>
              </w:rPr>
              <w:t>42</w:t>
            </w:r>
            <w:r>
              <w:rPr>
                <w:rFonts w:hint="eastAsia" w:ascii="宋体" w:hAnsi="宋体" w:eastAsia="宋体" w:cs="宋体"/>
                <w:b/>
                <w:bCs/>
                <w:kern w:val="0"/>
                <w:sz w:val="18"/>
                <w:szCs w:val="18"/>
              </w:rPr>
              <w:t>个项目</w:t>
            </w:r>
          </w:p>
        </w:tc>
        <w:tc>
          <w:tcPr>
            <w:tcW w:w="2611" w:type="dxa"/>
            <w:gridSpan w:val="2"/>
            <w:tcBorders>
              <w:top w:val="single" w:color="auto" w:sz="4" w:space="0"/>
              <w:left w:val="nil"/>
              <w:bottom w:val="single" w:color="auto" w:sz="4" w:space="0"/>
              <w:right w:val="single" w:color="auto" w:sz="4" w:space="0"/>
            </w:tcBorders>
            <w:vAlign w:val="center"/>
          </w:tcPr>
          <w:p w14:paraId="382EAB89">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合计：</w:t>
            </w:r>
            <w:r>
              <w:rPr>
                <w:rFonts w:ascii="宋体" w:hAnsi="宋体" w:eastAsia="宋体" w:cs="宋体"/>
                <w:b/>
                <w:bCs/>
                <w:kern w:val="0"/>
                <w:sz w:val="18"/>
                <w:szCs w:val="18"/>
              </w:rPr>
              <w:t>100502.84</w:t>
            </w:r>
          </w:p>
        </w:tc>
      </w:tr>
      <w:tr w14:paraId="5362DB21">
        <w:tblPrEx>
          <w:tblCellMar>
            <w:top w:w="0" w:type="dxa"/>
            <w:left w:w="108" w:type="dxa"/>
            <w:bottom w:w="0" w:type="dxa"/>
            <w:right w:w="108" w:type="dxa"/>
          </w:tblCellMar>
        </w:tblPrEx>
        <w:trPr>
          <w:trHeight w:val="241" w:hRule="atLeast"/>
        </w:trPr>
        <w:tc>
          <w:tcPr>
            <w:tcW w:w="427" w:type="dxa"/>
            <w:tcBorders>
              <w:top w:val="nil"/>
              <w:left w:val="single" w:color="auto" w:sz="4" w:space="0"/>
              <w:bottom w:val="single" w:color="auto" w:sz="4" w:space="0"/>
              <w:right w:val="single" w:color="auto" w:sz="4" w:space="0"/>
            </w:tcBorders>
            <w:noWrap/>
            <w:vAlign w:val="center"/>
          </w:tcPr>
          <w:p w14:paraId="49007AAF">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w:t>
            </w:r>
          </w:p>
        </w:tc>
        <w:tc>
          <w:tcPr>
            <w:tcW w:w="961" w:type="dxa"/>
            <w:tcBorders>
              <w:top w:val="nil"/>
              <w:left w:val="nil"/>
              <w:bottom w:val="single" w:color="auto" w:sz="4" w:space="0"/>
              <w:right w:val="single" w:color="auto" w:sz="4" w:space="0"/>
            </w:tcBorders>
            <w:vAlign w:val="center"/>
          </w:tcPr>
          <w:p w14:paraId="13812F60">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5E6C40F5">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皮山县羊养殖购置补助项目</w:t>
            </w:r>
          </w:p>
        </w:tc>
        <w:tc>
          <w:tcPr>
            <w:tcW w:w="1650" w:type="dxa"/>
            <w:tcBorders>
              <w:top w:val="nil"/>
              <w:left w:val="nil"/>
              <w:bottom w:val="single" w:color="auto" w:sz="4" w:space="0"/>
              <w:right w:val="single" w:color="auto" w:sz="4" w:space="0"/>
            </w:tcBorders>
            <w:vAlign w:val="center"/>
          </w:tcPr>
          <w:p w14:paraId="32FDFE35">
            <w:pPr>
              <w:widowControl/>
              <w:jc w:val="center"/>
              <w:rPr>
                <w:rFonts w:ascii="宋体" w:hAnsi="宋体" w:eastAsia="宋体" w:cs="宋体"/>
                <w:kern w:val="0"/>
                <w:sz w:val="18"/>
                <w:szCs w:val="18"/>
              </w:rPr>
            </w:pPr>
            <w:r>
              <w:rPr>
                <w:rFonts w:hint="eastAsia" w:ascii="宋体" w:hAnsi="宋体" w:eastAsia="宋体" w:cs="宋体"/>
                <w:kern w:val="0"/>
                <w:sz w:val="18"/>
                <w:szCs w:val="18"/>
              </w:rPr>
              <w:t>第一批扶贫资金</w:t>
            </w:r>
          </w:p>
        </w:tc>
        <w:tc>
          <w:tcPr>
            <w:tcW w:w="961" w:type="dxa"/>
            <w:tcBorders>
              <w:top w:val="nil"/>
              <w:left w:val="nil"/>
              <w:bottom w:val="single" w:color="auto" w:sz="4" w:space="0"/>
              <w:right w:val="single" w:color="auto" w:sz="4" w:space="0"/>
            </w:tcBorders>
            <w:vAlign w:val="center"/>
          </w:tcPr>
          <w:p w14:paraId="56CFA9B2">
            <w:pPr>
              <w:widowControl/>
              <w:jc w:val="center"/>
              <w:rPr>
                <w:rFonts w:ascii="宋体" w:hAnsi="宋体" w:eastAsia="宋体" w:cs="宋体"/>
                <w:kern w:val="0"/>
                <w:sz w:val="18"/>
                <w:szCs w:val="18"/>
              </w:rPr>
            </w:pPr>
            <w:r>
              <w:rPr>
                <w:rFonts w:hint="eastAsia" w:ascii="宋体" w:hAnsi="宋体" w:eastAsia="宋体" w:cs="宋体"/>
                <w:kern w:val="0"/>
                <w:sz w:val="18"/>
                <w:szCs w:val="18"/>
              </w:rPr>
              <w:t>5000</w:t>
            </w:r>
          </w:p>
        </w:tc>
      </w:tr>
      <w:tr w14:paraId="79432E5A">
        <w:tblPrEx>
          <w:tblCellMar>
            <w:top w:w="0" w:type="dxa"/>
            <w:left w:w="108" w:type="dxa"/>
            <w:bottom w:w="0" w:type="dxa"/>
            <w:right w:w="108" w:type="dxa"/>
          </w:tblCellMar>
        </w:tblPrEx>
        <w:trPr>
          <w:trHeight w:val="219" w:hRule="atLeast"/>
        </w:trPr>
        <w:tc>
          <w:tcPr>
            <w:tcW w:w="427" w:type="dxa"/>
            <w:tcBorders>
              <w:top w:val="nil"/>
              <w:left w:val="single" w:color="auto" w:sz="4" w:space="0"/>
              <w:bottom w:val="single" w:color="auto" w:sz="4" w:space="0"/>
              <w:right w:val="single" w:color="auto" w:sz="4" w:space="0"/>
            </w:tcBorders>
            <w:noWrap/>
            <w:vAlign w:val="center"/>
          </w:tcPr>
          <w:p w14:paraId="38619616">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w:t>
            </w:r>
          </w:p>
        </w:tc>
        <w:tc>
          <w:tcPr>
            <w:tcW w:w="961" w:type="dxa"/>
            <w:tcBorders>
              <w:top w:val="nil"/>
              <w:left w:val="nil"/>
              <w:bottom w:val="single" w:color="auto" w:sz="4" w:space="0"/>
              <w:right w:val="single" w:color="auto" w:sz="4" w:space="0"/>
            </w:tcBorders>
            <w:vAlign w:val="center"/>
          </w:tcPr>
          <w:p w14:paraId="024A025A">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73495541">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皮山县食用菌拱棚附属配套建设项目</w:t>
            </w:r>
          </w:p>
        </w:tc>
        <w:tc>
          <w:tcPr>
            <w:tcW w:w="1650" w:type="dxa"/>
            <w:tcBorders>
              <w:top w:val="nil"/>
              <w:left w:val="nil"/>
              <w:bottom w:val="single" w:color="auto" w:sz="4" w:space="0"/>
              <w:right w:val="single" w:color="auto" w:sz="4" w:space="0"/>
            </w:tcBorders>
            <w:vAlign w:val="center"/>
          </w:tcPr>
          <w:p w14:paraId="1B19B818">
            <w:pPr>
              <w:widowControl/>
              <w:jc w:val="center"/>
              <w:rPr>
                <w:rFonts w:ascii="宋体" w:hAnsi="宋体" w:eastAsia="宋体" w:cs="宋体"/>
                <w:kern w:val="0"/>
                <w:sz w:val="18"/>
                <w:szCs w:val="18"/>
              </w:rPr>
            </w:pPr>
            <w:r>
              <w:rPr>
                <w:rFonts w:hint="eastAsia" w:ascii="宋体" w:hAnsi="宋体" w:eastAsia="宋体" w:cs="宋体"/>
                <w:kern w:val="0"/>
                <w:sz w:val="18"/>
                <w:szCs w:val="18"/>
              </w:rPr>
              <w:t>第一批扶贫资金</w:t>
            </w:r>
          </w:p>
        </w:tc>
        <w:tc>
          <w:tcPr>
            <w:tcW w:w="961" w:type="dxa"/>
            <w:tcBorders>
              <w:top w:val="nil"/>
              <w:left w:val="nil"/>
              <w:bottom w:val="single" w:color="auto" w:sz="4" w:space="0"/>
              <w:right w:val="single" w:color="auto" w:sz="4" w:space="0"/>
            </w:tcBorders>
            <w:vAlign w:val="center"/>
          </w:tcPr>
          <w:p w14:paraId="7D40F638">
            <w:pPr>
              <w:widowControl/>
              <w:jc w:val="center"/>
              <w:rPr>
                <w:rFonts w:ascii="宋体" w:hAnsi="宋体" w:eastAsia="宋体" w:cs="宋体"/>
                <w:kern w:val="0"/>
                <w:sz w:val="18"/>
                <w:szCs w:val="18"/>
              </w:rPr>
            </w:pPr>
            <w:r>
              <w:rPr>
                <w:rFonts w:hint="eastAsia" w:ascii="宋体" w:hAnsi="宋体" w:eastAsia="宋体" w:cs="宋体"/>
                <w:kern w:val="0"/>
                <w:sz w:val="18"/>
                <w:szCs w:val="18"/>
              </w:rPr>
              <w:t>800</w:t>
            </w:r>
          </w:p>
        </w:tc>
      </w:tr>
      <w:tr w14:paraId="39C26522">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vAlign w:val="center"/>
          </w:tcPr>
          <w:p w14:paraId="53368B43">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3</w:t>
            </w:r>
          </w:p>
        </w:tc>
        <w:tc>
          <w:tcPr>
            <w:tcW w:w="961" w:type="dxa"/>
            <w:tcBorders>
              <w:top w:val="nil"/>
              <w:left w:val="nil"/>
              <w:bottom w:val="single" w:color="auto" w:sz="4" w:space="0"/>
              <w:right w:val="single" w:color="auto" w:sz="4" w:space="0"/>
            </w:tcBorders>
            <w:vAlign w:val="center"/>
          </w:tcPr>
          <w:p w14:paraId="4D93AC9A">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3AF8A9C9">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皮山县食用菌菌棒购置补助项目</w:t>
            </w:r>
          </w:p>
        </w:tc>
        <w:tc>
          <w:tcPr>
            <w:tcW w:w="1650" w:type="dxa"/>
            <w:tcBorders>
              <w:top w:val="nil"/>
              <w:left w:val="nil"/>
              <w:bottom w:val="single" w:color="auto" w:sz="4" w:space="0"/>
              <w:right w:val="single" w:color="auto" w:sz="4" w:space="0"/>
            </w:tcBorders>
            <w:vAlign w:val="center"/>
          </w:tcPr>
          <w:p w14:paraId="01EE6E3A">
            <w:pPr>
              <w:widowControl/>
              <w:jc w:val="center"/>
              <w:rPr>
                <w:rFonts w:ascii="宋体" w:hAnsi="宋体" w:eastAsia="宋体" w:cs="宋体"/>
                <w:kern w:val="0"/>
                <w:sz w:val="18"/>
                <w:szCs w:val="18"/>
              </w:rPr>
            </w:pPr>
            <w:r>
              <w:rPr>
                <w:rFonts w:hint="eastAsia" w:ascii="宋体" w:hAnsi="宋体" w:eastAsia="宋体" w:cs="宋体"/>
                <w:kern w:val="0"/>
                <w:sz w:val="18"/>
                <w:szCs w:val="18"/>
              </w:rPr>
              <w:t>第一批扶贫资金</w:t>
            </w:r>
          </w:p>
        </w:tc>
        <w:tc>
          <w:tcPr>
            <w:tcW w:w="961" w:type="dxa"/>
            <w:tcBorders>
              <w:top w:val="nil"/>
              <w:left w:val="nil"/>
              <w:bottom w:val="single" w:color="auto" w:sz="4" w:space="0"/>
              <w:right w:val="single" w:color="auto" w:sz="4" w:space="0"/>
            </w:tcBorders>
            <w:vAlign w:val="center"/>
          </w:tcPr>
          <w:p w14:paraId="3A1A504A">
            <w:pPr>
              <w:widowControl/>
              <w:jc w:val="center"/>
              <w:rPr>
                <w:rFonts w:ascii="宋体" w:hAnsi="宋体" w:eastAsia="宋体" w:cs="宋体"/>
                <w:kern w:val="0"/>
                <w:sz w:val="18"/>
                <w:szCs w:val="18"/>
              </w:rPr>
            </w:pPr>
            <w:r>
              <w:rPr>
                <w:rFonts w:hint="eastAsia" w:ascii="宋体" w:hAnsi="宋体" w:eastAsia="宋体" w:cs="宋体"/>
                <w:kern w:val="0"/>
                <w:sz w:val="18"/>
                <w:szCs w:val="18"/>
              </w:rPr>
              <w:t>2040</w:t>
            </w:r>
          </w:p>
        </w:tc>
      </w:tr>
      <w:tr w14:paraId="59501A0E">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vAlign w:val="center"/>
          </w:tcPr>
          <w:p w14:paraId="3F8A898E">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4</w:t>
            </w:r>
          </w:p>
        </w:tc>
        <w:tc>
          <w:tcPr>
            <w:tcW w:w="961" w:type="dxa"/>
            <w:tcBorders>
              <w:top w:val="nil"/>
              <w:left w:val="nil"/>
              <w:bottom w:val="single" w:color="auto" w:sz="4" w:space="0"/>
              <w:right w:val="single" w:color="auto" w:sz="4" w:space="0"/>
            </w:tcBorders>
            <w:vAlign w:val="center"/>
          </w:tcPr>
          <w:p w14:paraId="0E4E5F59">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1D1D3D9C">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皮山县设施农业建设项目</w:t>
            </w:r>
          </w:p>
        </w:tc>
        <w:tc>
          <w:tcPr>
            <w:tcW w:w="1650" w:type="dxa"/>
            <w:tcBorders>
              <w:top w:val="nil"/>
              <w:left w:val="nil"/>
              <w:bottom w:val="single" w:color="auto" w:sz="4" w:space="0"/>
              <w:right w:val="single" w:color="auto" w:sz="4" w:space="0"/>
            </w:tcBorders>
            <w:vAlign w:val="center"/>
          </w:tcPr>
          <w:p w14:paraId="0C5F1F07">
            <w:pPr>
              <w:widowControl/>
              <w:jc w:val="center"/>
              <w:rPr>
                <w:rFonts w:ascii="宋体" w:hAnsi="宋体" w:eastAsia="宋体" w:cs="宋体"/>
                <w:kern w:val="0"/>
                <w:sz w:val="18"/>
                <w:szCs w:val="18"/>
              </w:rPr>
            </w:pPr>
            <w:r>
              <w:rPr>
                <w:rFonts w:hint="eastAsia" w:ascii="宋体" w:hAnsi="宋体" w:eastAsia="宋体" w:cs="宋体"/>
                <w:kern w:val="0"/>
                <w:sz w:val="18"/>
                <w:szCs w:val="18"/>
              </w:rPr>
              <w:t>第一批扶贫资金</w:t>
            </w:r>
          </w:p>
        </w:tc>
        <w:tc>
          <w:tcPr>
            <w:tcW w:w="961" w:type="dxa"/>
            <w:tcBorders>
              <w:top w:val="nil"/>
              <w:left w:val="nil"/>
              <w:bottom w:val="single" w:color="auto" w:sz="4" w:space="0"/>
              <w:right w:val="single" w:color="auto" w:sz="4" w:space="0"/>
            </w:tcBorders>
            <w:vAlign w:val="center"/>
          </w:tcPr>
          <w:p w14:paraId="0B9E99B4">
            <w:pPr>
              <w:widowControl/>
              <w:jc w:val="center"/>
              <w:rPr>
                <w:rFonts w:ascii="宋体" w:hAnsi="宋体" w:eastAsia="宋体" w:cs="宋体"/>
                <w:kern w:val="0"/>
                <w:sz w:val="18"/>
                <w:szCs w:val="18"/>
              </w:rPr>
            </w:pPr>
            <w:r>
              <w:rPr>
                <w:rFonts w:hint="eastAsia" w:ascii="宋体" w:hAnsi="宋体" w:eastAsia="宋体" w:cs="宋体"/>
                <w:kern w:val="0"/>
                <w:sz w:val="18"/>
                <w:szCs w:val="18"/>
              </w:rPr>
              <w:t>18100</w:t>
            </w:r>
          </w:p>
        </w:tc>
      </w:tr>
      <w:tr w14:paraId="5D1BCB61">
        <w:tblPrEx>
          <w:tblCellMar>
            <w:top w:w="0" w:type="dxa"/>
            <w:left w:w="108" w:type="dxa"/>
            <w:bottom w:w="0" w:type="dxa"/>
            <w:right w:w="108" w:type="dxa"/>
          </w:tblCellMar>
        </w:tblPrEx>
        <w:trPr>
          <w:trHeight w:val="282" w:hRule="atLeast"/>
        </w:trPr>
        <w:tc>
          <w:tcPr>
            <w:tcW w:w="427" w:type="dxa"/>
            <w:tcBorders>
              <w:top w:val="nil"/>
              <w:left w:val="single" w:color="auto" w:sz="4" w:space="0"/>
              <w:bottom w:val="single" w:color="auto" w:sz="4" w:space="0"/>
              <w:right w:val="single" w:color="auto" w:sz="4" w:space="0"/>
            </w:tcBorders>
            <w:noWrap/>
            <w:vAlign w:val="center"/>
          </w:tcPr>
          <w:p w14:paraId="16A5CCE1">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5</w:t>
            </w:r>
          </w:p>
        </w:tc>
        <w:tc>
          <w:tcPr>
            <w:tcW w:w="961" w:type="dxa"/>
            <w:tcBorders>
              <w:top w:val="nil"/>
              <w:left w:val="nil"/>
              <w:bottom w:val="single" w:color="auto" w:sz="4" w:space="0"/>
              <w:right w:val="single" w:color="auto" w:sz="4" w:space="0"/>
            </w:tcBorders>
            <w:vAlign w:val="center"/>
          </w:tcPr>
          <w:p w14:paraId="2A8BBCF3">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07C8349C">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皮山县金山河易地扶贫搬迁产业设施棚圈附属配套建设项目</w:t>
            </w:r>
          </w:p>
        </w:tc>
        <w:tc>
          <w:tcPr>
            <w:tcW w:w="1650" w:type="dxa"/>
            <w:tcBorders>
              <w:top w:val="nil"/>
              <w:left w:val="nil"/>
              <w:bottom w:val="single" w:color="auto" w:sz="4" w:space="0"/>
              <w:right w:val="single" w:color="auto" w:sz="4" w:space="0"/>
            </w:tcBorders>
            <w:vAlign w:val="center"/>
          </w:tcPr>
          <w:p w14:paraId="18613630">
            <w:pPr>
              <w:widowControl/>
              <w:jc w:val="center"/>
              <w:rPr>
                <w:rFonts w:ascii="宋体" w:hAnsi="宋体" w:eastAsia="宋体" w:cs="宋体"/>
                <w:kern w:val="0"/>
                <w:sz w:val="18"/>
                <w:szCs w:val="18"/>
              </w:rPr>
            </w:pPr>
            <w:r>
              <w:rPr>
                <w:rFonts w:hint="eastAsia" w:ascii="宋体" w:hAnsi="宋体" w:eastAsia="宋体" w:cs="宋体"/>
                <w:kern w:val="0"/>
                <w:sz w:val="18"/>
                <w:szCs w:val="18"/>
              </w:rPr>
              <w:t>第一批扶贫资金</w:t>
            </w:r>
          </w:p>
        </w:tc>
        <w:tc>
          <w:tcPr>
            <w:tcW w:w="961" w:type="dxa"/>
            <w:tcBorders>
              <w:top w:val="nil"/>
              <w:left w:val="nil"/>
              <w:bottom w:val="single" w:color="auto" w:sz="4" w:space="0"/>
              <w:right w:val="single" w:color="auto" w:sz="4" w:space="0"/>
            </w:tcBorders>
            <w:vAlign w:val="center"/>
          </w:tcPr>
          <w:p w14:paraId="52CCBC4B">
            <w:pPr>
              <w:widowControl/>
              <w:jc w:val="center"/>
              <w:rPr>
                <w:rFonts w:ascii="宋体" w:hAnsi="宋体" w:eastAsia="宋体" w:cs="宋体"/>
                <w:kern w:val="0"/>
                <w:sz w:val="18"/>
                <w:szCs w:val="18"/>
              </w:rPr>
            </w:pPr>
            <w:r>
              <w:rPr>
                <w:rFonts w:hint="eastAsia" w:ascii="宋体" w:hAnsi="宋体" w:eastAsia="宋体" w:cs="宋体"/>
                <w:kern w:val="0"/>
                <w:sz w:val="18"/>
                <w:szCs w:val="18"/>
              </w:rPr>
              <w:t>399</w:t>
            </w:r>
          </w:p>
        </w:tc>
      </w:tr>
      <w:tr w14:paraId="720D5550">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vAlign w:val="center"/>
          </w:tcPr>
          <w:p w14:paraId="24620989">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6</w:t>
            </w:r>
          </w:p>
        </w:tc>
        <w:tc>
          <w:tcPr>
            <w:tcW w:w="961" w:type="dxa"/>
            <w:tcBorders>
              <w:top w:val="nil"/>
              <w:left w:val="nil"/>
              <w:bottom w:val="single" w:color="auto" w:sz="4" w:space="0"/>
              <w:right w:val="single" w:color="auto" w:sz="4" w:space="0"/>
            </w:tcBorders>
            <w:vAlign w:val="center"/>
          </w:tcPr>
          <w:p w14:paraId="70A58F3F">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66915317">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皮山县乔达乡肉羊育肥基地建设项目</w:t>
            </w:r>
          </w:p>
        </w:tc>
        <w:tc>
          <w:tcPr>
            <w:tcW w:w="1650" w:type="dxa"/>
            <w:tcBorders>
              <w:top w:val="nil"/>
              <w:left w:val="nil"/>
              <w:bottom w:val="single" w:color="auto" w:sz="4" w:space="0"/>
              <w:right w:val="single" w:color="auto" w:sz="4" w:space="0"/>
            </w:tcBorders>
            <w:vAlign w:val="center"/>
          </w:tcPr>
          <w:p w14:paraId="50349188">
            <w:pPr>
              <w:widowControl/>
              <w:jc w:val="center"/>
              <w:rPr>
                <w:rFonts w:ascii="宋体" w:hAnsi="宋体" w:eastAsia="宋体" w:cs="宋体"/>
                <w:kern w:val="0"/>
                <w:sz w:val="18"/>
                <w:szCs w:val="18"/>
              </w:rPr>
            </w:pPr>
            <w:r>
              <w:rPr>
                <w:rFonts w:hint="eastAsia" w:ascii="宋体" w:hAnsi="宋体" w:eastAsia="宋体" w:cs="宋体"/>
                <w:kern w:val="0"/>
                <w:sz w:val="18"/>
                <w:szCs w:val="18"/>
              </w:rPr>
              <w:t>第一批扶贫资金</w:t>
            </w:r>
          </w:p>
        </w:tc>
        <w:tc>
          <w:tcPr>
            <w:tcW w:w="961" w:type="dxa"/>
            <w:tcBorders>
              <w:top w:val="nil"/>
              <w:left w:val="nil"/>
              <w:bottom w:val="single" w:color="auto" w:sz="4" w:space="0"/>
              <w:right w:val="single" w:color="auto" w:sz="4" w:space="0"/>
            </w:tcBorders>
            <w:vAlign w:val="center"/>
          </w:tcPr>
          <w:p w14:paraId="15D92878">
            <w:pPr>
              <w:widowControl/>
              <w:jc w:val="center"/>
              <w:rPr>
                <w:rFonts w:ascii="宋体" w:hAnsi="宋体" w:eastAsia="宋体" w:cs="宋体"/>
                <w:kern w:val="0"/>
                <w:sz w:val="18"/>
                <w:szCs w:val="18"/>
              </w:rPr>
            </w:pPr>
            <w:r>
              <w:rPr>
                <w:rFonts w:hint="eastAsia" w:ascii="宋体" w:hAnsi="宋体" w:eastAsia="宋体" w:cs="宋体"/>
                <w:kern w:val="0"/>
                <w:sz w:val="18"/>
                <w:szCs w:val="18"/>
              </w:rPr>
              <w:t>5600</w:t>
            </w:r>
          </w:p>
        </w:tc>
      </w:tr>
      <w:tr w14:paraId="50BCED12">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vAlign w:val="center"/>
          </w:tcPr>
          <w:p w14:paraId="57D288DA">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7</w:t>
            </w:r>
          </w:p>
        </w:tc>
        <w:tc>
          <w:tcPr>
            <w:tcW w:w="961" w:type="dxa"/>
            <w:tcBorders>
              <w:top w:val="nil"/>
              <w:left w:val="nil"/>
              <w:bottom w:val="single" w:color="auto" w:sz="4" w:space="0"/>
              <w:right w:val="single" w:color="auto" w:sz="4" w:space="0"/>
            </w:tcBorders>
            <w:vAlign w:val="center"/>
          </w:tcPr>
          <w:p w14:paraId="49906403">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481153ED">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皮山县藏桂乡多胎羊扩繁场建设项目</w:t>
            </w:r>
          </w:p>
        </w:tc>
        <w:tc>
          <w:tcPr>
            <w:tcW w:w="1650" w:type="dxa"/>
            <w:tcBorders>
              <w:top w:val="nil"/>
              <w:left w:val="nil"/>
              <w:bottom w:val="single" w:color="auto" w:sz="4" w:space="0"/>
              <w:right w:val="single" w:color="auto" w:sz="4" w:space="0"/>
            </w:tcBorders>
            <w:vAlign w:val="center"/>
          </w:tcPr>
          <w:p w14:paraId="3F275D66">
            <w:pPr>
              <w:widowControl/>
              <w:jc w:val="center"/>
              <w:rPr>
                <w:rFonts w:ascii="宋体" w:hAnsi="宋体" w:eastAsia="宋体" w:cs="宋体"/>
                <w:kern w:val="0"/>
                <w:sz w:val="18"/>
                <w:szCs w:val="18"/>
              </w:rPr>
            </w:pPr>
            <w:r>
              <w:rPr>
                <w:rFonts w:hint="eastAsia" w:ascii="宋体" w:hAnsi="宋体" w:eastAsia="宋体" w:cs="宋体"/>
                <w:kern w:val="0"/>
                <w:sz w:val="18"/>
                <w:szCs w:val="18"/>
              </w:rPr>
              <w:t>第一批扶贫资金</w:t>
            </w:r>
          </w:p>
        </w:tc>
        <w:tc>
          <w:tcPr>
            <w:tcW w:w="961" w:type="dxa"/>
            <w:tcBorders>
              <w:top w:val="nil"/>
              <w:left w:val="nil"/>
              <w:bottom w:val="single" w:color="auto" w:sz="4" w:space="0"/>
              <w:right w:val="single" w:color="auto" w:sz="4" w:space="0"/>
            </w:tcBorders>
            <w:vAlign w:val="center"/>
          </w:tcPr>
          <w:p w14:paraId="69B4908C">
            <w:pPr>
              <w:widowControl/>
              <w:jc w:val="center"/>
              <w:rPr>
                <w:rFonts w:ascii="宋体" w:hAnsi="宋体" w:eastAsia="宋体" w:cs="宋体"/>
                <w:kern w:val="0"/>
                <w:sz w:val="18"/>
                <w:szCs w:val="18"/>
              </w:rPr>
            </w:pPr>
            <w:r>
              <w:rPr>
                <w:rFonts w:hint="eastAsia" w:ascii="宋体" w:hAnsi="宋体" w:eastAsia="宋体" w:cs="宋体"/>
                <w:kern w:val="0"/>
                <w:sz w:val="18"/>
                <w:szCs w:val="18"/>
              </w:rPr>
              <w:t>6800</w:t>
            </w:r>
          </w:p>
        </w:tc>
      </w:tr>
      <w:tr w14:paraId="58FD6C5D">
        <w:tblPrEx>
          <w:tblCellMar>
            <w:top w:w="0" w:type="dxa"/>
            <w:left w:w="108" w:type="dxa"/>
            <w:bottom w:w="0" w:type="dxa"/>
            <w:right w:w="108" w:type="dxa"/>
          </w:tblCellMar>
        </w:tblPrEx>
        <w:trPr>
          <w:trHeight w:val="65" w:hRule="atLeast"/>
        </w:trPr>
        <w:tc>
          <w:tcPr>
            <w:tcW w:w="427" w:type="dxa"/>
            <w:tcBorders>
              <w:top w:val="nil"/>
              <w:left w:val="single" w:color="auto" w:sz="4" w:space="0"/>
              <w:bottom w:val="single" w:color="auto" w:sz="4" w:space="0"/>
              <w:right w:val="single" w:color="auto" w:sz="4" w:space="0"/>
            </w:tcBorders>
            <w:noWrap/>
            <w:vAlign w:val="center"/>
          </w:tcPr>
          <w:p w14:paraId="12EC435E">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8</w:t>
            </w:r>
          </w:p>
        </w:tc>
        <w:tc>
          <w:tcPr>
            <w:tcW w:w="961" w:type="dxa"/>
            <w:tcBorders>
              <w:top w:val="nil"/>
              <w:left w:val="nil"/>
              <w:bottom w:val="single" w:color="auto" w:sz="4" w:space="0"/>
              <w:right w:val="single" w:color="auto" w:sz="4" w:space="0"/>
            </w:tcBorders>
            <w:vAlign w:val="center"/>
          </w:tcPr>
          <w:p w14:paraId="5F783AF3">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341FF9B7">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皮山县食用菌生产基地配套建设项目</w:t>
            </w:r>
          </w:p>
        </w:tc>
        <w:tc>
          <w:tcPr>
            <w:tcW w:w="1650" w:type="dxa"/>
            <w:tcBorders>
              <w:top w:val="nil"/>
              <w:left w:val="nil"/>
              <w:bottom w:val="single" w:color="auto" w:sz="4" w:space="0"/>
              <w:right w:val="single" w:color="auto" w:sz="4" w:space="0"/>
            </w:tcBorders>
            <w:vAlign w:val="center"/>
          </w:tcPr>
          <w:p w14:paraId="5044C4E0">
            <w:pPr>
              <w:widowControl/>
              <w:jc w:val="center"/>
              <w:rPr>
                <w:rFonts w:ascii="宋体" w:hAnsi="宋体" w:eastAsia="宋体" w:cs="宋体"/>
                <w:kern w:val="0"/>
                <w:sz w:val="18"/>
                <w:szCs w:val="18"/>
              </w:rPr>
            </w:pPr>
            <w:r>
              <w:rPr>
                <w:rFonts w:hint="eastAsia" w:ascii="宋体" w:hAnsi="宋体" w:eastAsia="宋体" w:cs="宋体"/>
                <w:kern w:val="0"/>
                <w:sz w:val="18"/>
                <w:szCs w:val="18"/>
              </w:rPr>
              <w:t>第一批扶贫资金</w:t>
            </w:r>
          </w:p>
        </w:tc>
        <w:tc>
          <w:tcPr>
            <w:tcW w:w="961" w:type="dxa"/>
            <w:tcBorders>
              <w:top w:val="nil"/>
              <w:left w:val="nil"/>
              <w:bottom w:val="single" w:color="auto" w:sz="4" w:space="0"/>
              <w:right w:val="single" w:color="auto" w:sz="4" w:space="0"/>
            </w:tcBorders>
            <w:vAlign w:val="center"/>
          </w:tcPr>
          <w:p w14:paraId="2F09CE3C">
            <w:pPr>
              <w:widowControl/>
              <w:jc w:val="center"/>
              <w:rPr>
                <w:rFonts w:ascii="宋体" w:hAnsi="宋体" w:eastAsia="宋体" w:cs="宋体"/>
                <w:kern w:val="0"/>
                <w:sz w:val="18"/>
                <w:szCs w:val="18"/>
              </w:rPr>
            </w:pPr>
            <w:r>
              <w:rPr>
                <w:rFonts w:hint="eastAsia" w:ascii="宋体" w:hAnsi="宋体" w:eastAsia="宋体" w:cs="宋体"/>
                <w:kern w:val="0"/>
                <w:sz w:val="18"/>
                <w:szCs w:val="18"/>
              </w:rPr>
              <w:t>1010</w:t>
            </w:r>
          </w:p>
        </w:tc>
      </w:tr>
      <w:tr w14:paraId="0FD1AEF3">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vAlign w:val="center"/>
          </w:tcPr>
          <w:p w14:paraId="7FCB601F">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9</w:t>
            </w:r>
          </w:p>
        </w:tc>
        <w:tc>
          <w:tcPr>
            <w:tcW w:w="961" w:type="dxa"/>
            <w:tcBorders>
              <w:top w:val="nil"/>
              <w:left w:val="nil"/>
              <w:bottom w:val="single" w:color="auto" w:sz="4" w:space="0"/>
              <w:right w:val="single" w:color="auto" w:sz="4" w:space="0"/>
            </w:tcBorders>
            <w:vAlign w:val="center"/>
          </w:tcPr>
          <w:p w14:paraId="10B0A732">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0D3D10E1">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皮山县鹅苗购置补助项目</w:t>
            </w:r>
          </w:p>
        </w:tc>
        <w:tc>
          <w:tcPr>
            <w:tcW w:w="1650" w:type="dxa"/>
            <w:tcBorders>
              <w:top w:val="nil"/>
              <w:left w:val="nil"/>
              <w:bottom w:val="single" w:color="auto" w:sz="4" w:space="0"/>
              <w:right w:val="single" w:color="auto" w:sz="4" w:space="0"/>
            </w:tcBorders>
            <w:vAlign w:val="center"/>
          </w:tcPr>
          <w:p w14:paraId="09B50DA3">
            <w:pPr>
              <w:widowControl/>
              <w:jc w:val="center"/>
              <w:rPr>
                <w:rFonts w:ascii="宋体" w:hAnsi="宋体" w:eastAsia="宋体" w:cs="宋体"/>
                <w:kern w:val="0"/>
                <w:sz w:val="18"/>
                <w:szCs w:val="18"/>
              </w:rPr>
            </w:pPr>
            <w:r>
              <w:rPr>
                <w:rFonts w:hint="eastAsia" w:ascii="宋体" w:hAnsi="宋体" w:eastAsia="宋体" w:cs="宋体"/>
                <w:kern w:val="0"/>
                <w:sz w:val="18"/>
                <w:szCs w:val="18"/>
              </w:rPr>
              <w:t>第二批扶贫资金</w:t>
            </w:r>
          </w:p>
        </w:tc>
        <w:tc>
          <w:tcPr>
            <w:tcW w:w="961" w:type="dxa"/>
            <w:tcBorders>
              <w:top w:val="nil"/>
              <w:left w:val="nil"/>
              <w:bottom w:val="single" w:color="auto" w:sz="4" w:space="0"/>
              <w:right w:val="single" w:color="auto" w:sz="4" w:space="0"/>
            </w:tcBorders>
            <w:vAlign w:val="center"/>
          </w:tcPr>
          <w:p w14:paraId="53DB6C37">
            <w:pPr>
              <w:widowControl/>
              <w:jc w:val="center"/>
              <w:rPr>
                <w:rFonts w:ascii="宋体" w:hAnsi="宋体" w:eastAsia="宋体" w:cs="宋体"/>
                <w:kern w:val="0"/>
                <w:sz w:val="18"/>
                <w:szCs w:val="18"/>
              </w:rPr>
            </w:pPr>
            <w:r>
              <w:rPr>
                <w:rFonts w:hint="eastAsia" w:ascii="宋体" w:hAnsi="宋体" w:eastAsia="宋体" w:cs="宋体"/>
                <w:kern w:val="0"/>
                <w:sz w:val="18"/>
                <w:szCs w:val="18"/>
              </w:rPr>
              <w:t>2800</w:t>
            </w:r>
          </w:p>
        </w:tc>
      </w:tr>
      <w:tr w14:paraId="4B1FF909">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vAlign w:val="center"/>
          </w:tcPr>
          <w:p w14:paraId="7A584224">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10</w:t>
            </w:r>
          </w:p>
        </w:tc>
        <w:tc>
          <w:tcPr>
            <w:tcW w:w="961" w:type="dxa"/>
            <w:tcBorders>
              <w:top w:val="nil"/>
              <w:left w:val="nil"/>
              <w:bottom w:val="single" w:color="auto" w:sz="4" w:space="0"/>
              <w:right w:val="single" w:color="auto" w:sz="4" w:space="0"/>
            </w:tcBorders>
            <w:vAlign w:val="center"/>
          </w:tcPr>
          <w:p w14:paraId="36DB8FBC">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06C429E8">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皮山县仔兔购置补助项目</w:t>
            </w:r>
          </w:p>
        </w:tc>
        <w:tc>
          <w:tcPr>
            <w:tcW w:w="1650" w:type="dxa"/>
            <w:tcBorders>
              <w:top w:val="nil"/>
              <w:left w:val="nil"/>
              <w:bottom w:val="single" w:color="auto" w:sz="4" w:space="0"/>
              <w:right w:val="single" w:color="auto" w:sz="4" w:space="0"/>
            </w:tcBorders>
            <w:vAlign w:val="center"/>
          </w:tcPr>
          <w:p w14:paraId="6B81521A">
            <w:pPr>
              <w:widowControl/>
              <w:jc w:val="center"/>
              <w:rPr>
                <w:rFonts w:ascii="宋体" w:hAnsi="宋体" w:eastAsia="宋体" w:cs="宋体"/>
                <w:kern w:val="0"/>
                <w:sz w:val="18"/>
                <w:szCs w:val="18"/>
              </w:rPr>
            </w:pPr>
            <w:r>
              <w:rPr>
                <w:rFonts w:hint="eastAsia" w:ascii="宋体" w:hAnsi="宋体" w:eastAsia="宋体" w:cs="宋体"/>
                <w:kern w:val="0"/>
                <w:sz w:val="18"/>
                <w:szCs w:val="18"/>
              </w:rPr>
              <w:t>第二批扶贫资金</w:t>
            </w:r>
          </w:p>
        </w:tc>
        <w:tc>
          <w:tcPr>
            <w:tcW w:w="961" w:type="dxa"/>
            <w:tcBorders>
              <w:top w:val="nil"/>
              <w:left w:val="nil"/>
              <w:bottom w:val="single" w:color="auto" w:sz="4" w:space="0"/>
              <w:right w:val="single" w:color="auto" w:sz="4" w:space="0"/>
            </w:tcBorders>
            <w:vAlign w:val="center"/>
          </w:tcPr>
          <w:p w14:paraId="19C6B9F1">
            <w:pPr>
              <w:widowControl/>
              <w:jc w:val="center"/>
              <w:rPr>
                <w:rFonts w:ascii="宋体" w:hAnsi="宋体" w:eastAsia="宋体" w:cs="宋体"/>
                <w:kern w:val="0"/>
                <w:sz w:val="18"/>
                <w:szCs w:val="18"/>
              </w:rPr>
            </w:pPr>
            <w:r>
              <w:rPr>
                <w:rFonts w:hint="eastAsia" w:ascii="宋体" w:hAnsi="宋体" w:eastAsia="宋体" w:cs="宋体"/>
                <w:kern w:val="0"/>
                <w:sz w:val="18"/>
                <w:szCs w:val="18"/>
              </w:rPr>
              <w:t>5000</w:t>
            </w:r>
          </w:p>
        </w:tc>
      </w:tr>
      <w:tr w14:paraId="25C1F857">
        <w:tblPrEx>
          <w:tblCellMar>
            <w:top w:w="0" w:type="dxa"/>
            <w:left w:w="108" w:type="dxa"/>
            <w:bottom w:w="0" w:type="dxa"/>
            <w:right w:w="108" w:type="dxa"/>
          </w:tblCellMar>
        </w:tblPrEx>
        <w:trPr>
          <w:trHeight w:val="297" w:hRule="atLeast"/>
        </w:trPr>
        <w:tc>
          <w:tcPr>
            <w:tcW w:w="427" w:type="dxa"/>
            <w:tcBorders>
              <w:top w:val="nil"/>
              <w:left w:val="single" w:color="auto" w:sz="4" w:space="0"/>
              <w:bottom w:val="single" w:color="auto" w:sz="4" w:space="0"/>
              <w:right w:val="single" w:color="auto" w:sz="4" w:space="0"/>
            </w:tcBorders>
            <w:noWrap/>
            <w:vAlign w:val="center"/>
          </w:tcPr>
          <w:p w14:paraId="4BBA1072">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11</w:t>
            </w:r>
          </w:p>
        </w:tc>
        <w:tc>
          <w:tcPr>
            <w:tcW w:w="961" w:type="dxa"/>
            <w:tcBorders>
              <w:top w:val="nil"/>
              <w:left w:val="nil"/>
              <w:bottom w:val="single" w:color="auto" w:sz="4" w:space="0"/>
              <w:right w:val="single" w:color="auto" w:sz="4" w:space="0"/>
            </w:tcBorders>
            <w:vAlign w:val="center"/>
          </w:tcPr>
          <w:p w14:paraId="22ADA792">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2FA3551D">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皮山县食用菌生产基地附属配套建设项目</w:t>
            </w:r>
          </w:p>
        </w:tc>
        <w:tc>
          <w:tcPr>
            <w:tcW w:w="1650" w:type="dxa"/>
            <w:tcBorders>
              <w:top w:val="nil"/>
              <w:left w:val="nil"/>
              <w:bottom w:val="single" w:color="auto" w:sz="4" w:space="0"/>
              <w:right w:val="single" w:color="auto" w:sz="4" w:space="0"/>
            </w:tcBorders>
            <w:vAlign w:val="center"/>
          </w:tcPr>
          <w:p w14:paraId="008F4D56">
            <w:pPr>
              <w:widowControl/>
              <w:jc w:val="center"/>
              <w:rPr>
                <w:rFonts w:ascii="宋体" w:hAnsi="宋体" w:eastAsia="宋体" w:cs="宋体"/>
                <w:kern w:val="0"/>
                <w:sz w:val="18"/>
                <w:szCs w:val="18"/>
              </w:rPr>
            </w:pPr>
            <w:r>
              <w:rPr>
                <w:rFonts w:hint="eastAsia" w:ascii="宋体" w:hAnsi="宋体" w:eastAsia="宋体" w:cs="宋体"/>
                <w:kern w:val="0"/>
                <w:sz w:val="18"/>
                <w:szCs w:val="18"/>
              </w:rPr>
              <w:t>第二批扶贫资金</w:t>
            </w:r>
          </w:p>
        </w:tc>
        <w:tc>
          <w:tcPr>
            <w:tcW w:w="961" w:type="dxa"/>
            <w:tcBorders>
              <w:top w:val="nil"/>
              <w:left w:val="nil"/>
              <w:bottom w:val="single" w:color="auto" w:sz="4" w:space="0"/>
              <w:right w:val="single" w:color="auto" w:sz="4" w:space="0"/>
            </w:tcBorders>
            <w:vAlign w:val="center"/>
          </w:tcPr>
          <w:p w14:paraId="508305F5">
            <w:pPr>
              <w:widowControl/>
              <w:jc w:val="center"/>
              <w:rPr>
                <w:rFonts w:ascii="宋体" w:hAnsi="宋体" w:eastAsia="宋体" w:cs="宋体"/>
                <w:kern w:val="0"/>
                <w:sz w:val="18"/>
                <w:szCs w:val="18"/>
              </w:rPr>
            </w:pPr>
            <w:r>
              <w:rPr>
                <w:rFonts w:hint="eastAsia" w:ascii="宋体" w:hAnsi="宋体" w:eastAsia="宋体" w:cs="宋体"/>
                <w:kern w:val="0"/>
                <w:sz w:val="18"/>
                <w:szCs w:val="18"/>
              </w:rPr>
              <w:t>3750</w:t>
            </w:r>
          </w:p>
        </w:tc>
      </w:tr>
      <w:tr w14:paraId="45E22D39">
        <w:tblPrEx>
          <w:tblCellMar>
            <w:top w:w="0" w:type="dxa"/>
            <w:left w:w="108" w:type="dxa"/>
            <w:bottom w:w="0" w:type="dxa"/>
            <w:right w:w="108" w:type="dxa"/>
          </w:tblCellMar>
        </w:tblPrEx>
        <w:trPr>
          <w:trHeight w:val="275" w:hRule="atLeast"/>
        </w:trPr>
        <w:tc>
          <w:tcPr>
            <w:tcW w:w="427" w:type="dxa"/>
            <w:tcBorders>
              <w:top w:val="nil"/>
              <w:left w:val="single" w:color="auto" w:sz="4" w:space="0"/>
              <w:bottom w:val="single" w:color="auto" w:sz="4" w:space="0"/>
              <w:right w:val="single" w:color="auto" w:sz="4" w:space="0"/>
            </w:tcBorders>
            <w:noWrap/>
            <w:vAlign w:val="center"/>
          </w:tcPr>
          <w:p w14:paraId="4AC68734">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12</w:t>
            </w:r>
          </w:p>
        </w:tc>
        <w:tc>
          <w:tcPr>
            <w:tcW w:w="961" w:type="dxa"/>
            <w:tcBorders>
              <w:top w:val="nil"/>
              <w:left w:val="nil"/>
              <w:bottom w:val="single" w:color="auto" w:sz="4" w:space="0"/>
              <w:right w:val="single" w:color="auto" w:sz="4" w:space="0"/>
            </w:tcBorders>
            <w:vAlign w:val="center"/>
          </w:tcPr>
          <w:p w14:paraId="1F11BB91">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15AE5D4D">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皮山县羊集中育肥棚圈建设项目</w:t>
            </w:r>
          </w:p>
        </w:tc>
        <w:tc>
          <w:tcPr>
            <w:tcW w:w="1650" w:type="dxa"/>
            <w:tcBorders>
              <w:top w:val="nil"/>
              <w:left w:val="nil"/>
              <w:bottom w:val="single" w:color="auto" w:sz="4" w:space="0"/>
              <w:right w:val="single" w:color="auto" w:sz="4" w:space="0"/>
            </w:tcBorders>
            <w:vAlign w:val="center"/>
          </w:tcPr>
          <w:p w14:paraId="7B55F05B">
            <w:pPr>
              <w:widowControl/>
              <w:jc w:val="center"/>
              <w:rPr>
                <w:rFonts w:ascii="宋体" w:hAnsi="宋体" w:eastAsia="宋体" w:cs="宋体"/>
                <w:kern w:val="0"/>
                <w:sz w:val="18"/>
                <w:szCs w:val="18"/>
              </w:rPr>
            </w:pPr>
            <w:r>
              <w:rPr>
                <w:rFonts w:hint="eastAsia" w:ascii="宋体" w:hAnsi="宋体" w:eastAsia="宋体" w:cs="宋体"/>
                <w:kern w:val="0"/>
                <w:sz w:val="18"/>
                <w:szCs w:val="18"/>
              </w:rPr>
              <w:t>第二批扶贫资金</w:t>
            </w:r>
          </w:p>
        </w:tc>
        <w:tc>
          <w:tcPr>
            <w:tcW w:w="961" w:type="dxa"/>
            <w:tcBorders>
              <w:top w:val="nil"/>
              <w:left w:val="nil"/>
              <w:bottom w:val="single" w:color="auto" w:sz="4" w:space="0"/>
              <w:right w:val="single" w:color="auto" w:sz="4" w:space="0"/>
            </w:tcBorders>
            <w:vAlign w:val="center"/>
          </w:tcPr>
          <w:p w14:paraId="583D2BDF">
            <w:pPr>
              <w:widowControl/>
              <w:jc w:val="center"/>
              <w:rPr>
                <w:rFonts w:ascii="宋体" w:hAnsi="宋体" w:eastAsia="宋体" w:cs="宋体"/>
                <w:kern w:val="0"/>
                <w:sz w:val="18"/>
                <w:szCs w:val="18"/>
              </w:rPr>
            </w:pPr>
            <w:r>
              <w:rPr>
                <w:rFonts w:hint="eastAsia" w:ascii="宋体" w:hAnsi="宋体" w:eastAsia="宋体" w:cs="宋体"/>
                <w:kern w:val="0"/>
                <w:sz w:val="18"/>
                <w:szCs w:val="18"/>
              </w:rPr>
              <w:t>5490</w:t>
            </w:r>
          </w:p>
        </w:tc>
      </w:tr>
      <w:tr w14:paraId="6C8DFEA6">
        <w:tblPrEx>
          <w:tblCellMar>
            <w:top w:w="0" w:type="dxa"/>
            <w:left w:w="108" w:type="dxa"/>
            <w:bottom w:w="0" w:type="dxa"/>
            <w:right w:w="108" w:type="dxa"/>
          </w:tblCellMar>
        </w:tblPrEx>
        <w:trPr>
          <w:trHeight w:val="267" w:hRule="atLeast"/>
        </w:trPr>
        <w:tc>
          <w:tcPr>
            <w:tcW w:w="427" w:type="dxa"/>
            <w:tcBorders>
              <w:top w:val="nil"/>
              <w:left w:val="single" w:color="auto" w:sz="4" w:space="0"/>
              <w:bottom w:val="single" w:color="auto" w:sz="4" w:space="0"/>
              <w:right w:val="single" w:color="auto" w:sz="4" w:space="0"/>
            </w:tcBorders>
            <w:noWrap/>
            <w:vAlign w:val="center"/>
          </w:tcPr>
          <w:p w14:paraId="4684BB43">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13</w:t>
            </w:r>
          </w:p>
        </w:tc>
        <w:tc>
          <w:tcPr>
            <w:tcW w:w="961" w:type="dxa"/>
            <w:tcBorders>
              <w:top w:val="nil"/>
              <w:left w:val="nil"/>
              <w:bottom w:val="single" w:color="auto" w:sz="4" w:space="0"/>
              <w:right w:val="single" w:color="auto" w:sz="4" w:space="0"/>
            </w:tcBorders>
            <w:vAlign w:val="center"/>
          </w:tcPr>
          <w:p w14:paraId="55DCE698">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03DAB2F3">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皮山县桑株镇集中养殖鹅棚圈建设项目（二期）</w:t>
            </w:r>
          </w:p>
        </w:tc>
        <w:tc>
          <w:tcPr>
            <w:tcW w:w="1650" w:type="dxa"/>
            <w:tcBorders>
              <w:top w:val="nil"/>
              <w:left w:val="nil"/>
              <w:bottom w:val="single" w:color="auto" w:sz="4" w:space="0"/>
              <w:right w:val="single" w:color="auto" w:sz="4" w:space="0"/>
            </w:tcBorders>
            <w:vAlign w:val="center"/>
          </w:tcPr>
          <w:p w14:paraId="7646040B">
            <w:pPr>
              <w:widowControl/>
              <w:jc w:val="center"/>
              <w:rPr>
                <w:rFonts w:ascii="宋体" w:hAnsi="宋体" w:eastAsia="宋体" w:cs="宋体"/>
                <w:kern w:val="0"/>
                <w:sz w:val="18"/>
                <w:szCs w:val="18"/>
              </w:rPr>
            </w:pPr>
            <w:r>
              <w:rPr>
                <w:rFonts w:hint="eastAsia" w:ascii="宋体" w:hAnsi="宋体" w:eastAsia="宋体" w:cs="宋体"/>
                <w:kern w:val="0"/>
                <w:sz w:val="18"/>
                <w:szCs w:val="18"/>
              </w:rPr>
              <w:t>第二批扶贫资金</w:t>
            </w:r>
          </w:p>
        </w:tc>
        <w:tc>
          <w:tcPr>
            <w:tcW w:w="961" w:type="dxa"/>
            <w:tcBorders>
              <w:top w:val="nil"/>
              <w:left w:val="nil"/>
              <w:bottom w:val="single" w:color="auto" w:sz="4" w:space="0"/>
              <w:right w:val="single" w:color="auto" w:sz="4" w:space="0"/>
            </w:tcBorders>
            <w:vAlign w:val="center"/>
          </w:tcPr>
          <w:p w14:paraId="10C222C3">
            <w:pPr>
              <w:widowControl/>
              <w:jc w:val="center"/>
              <w:rPr>
                <w:rFonts w:ascii="宋体" w:hAnsi="宋体" w:eastAsia="宋体" w:cs="宋体"/>
                <w:kern w:val="0"/>
                <w:sz w:val="18"/>
                <w:szCs w:val="18"/>
              </w:rPr>
            </w:pPr>
            <w:r>
              <w:rPr>
                <w:rFonts w:hint="eastAsia" w:ascii="宋体" w:hAnsi="宋体" w:eastAsia="宋体" w:cs="宋体"/>
                <w:kern w:val="0"/>
                <w:sz w:val="18"/>
                <w:szCs w:val="18"/>
              </w:rPr>
              <w:t>100</w:t>
            </w:r>
          </w:p>
        </w:tc>
      </w:tr>
      <w:tr w14:paraId="14EDC3ED">
        <w:tblPrEx>
          <w:tblCellMar>
            <w:top w:w="0" w:type="dxa"/>
            <w:left w:w="108" w:type="dxa"/>
            <w:bottom w:w="0" w:type="dxa"/>
            <w:right w:w="108" w:type="dxa"/>
          </w:tblCellMar>
        </w:tblPrEx>
        <w:trPr>
          <w:trHeight w:val="387" w:hRule="atLeast"/>
        </w:trPr>
        <w:tc>
          <w:tcPr>
            <w:tcW w:w="427" w:type="dxa"/>
            <w:tcBorders>
              <w:top w:val="nil"/>
              <w:left w:val="single" w:color="auto" w:sz="4" w:space="0"/>
              <w:bottom w:val="single" w:color="auto" w:sz="4" w:space="0"/>
              <w:right w:val="single" w:color="auto" w:sz="4" w:space="0"/>
            </w:tcBorders>
            <w:noWrap/>
            <w:vAlign w:val="center"/>
          </w:tcPr>
          <w:p w14:paraId="704A1D44">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14</w:t>
            </w:r>
          </w:p>
        </w:tc>
        <w:tc>
          <w:tcPr>
            <w:tcW w:w="961" w:type="dxa"/>
            <w:tcBorders>
              <w:top w:val="nil"/>
              <w:left w:val="nil"/>
              <w:bottom w:val="single" w:color="auto" w:sz="4" w:space="0"/>
              <w:right w:val="single" w:color="auto" w:sz="4" w:space="0"/>
            </w:tcBorders>
            <w:vAlign w:val="center"/>
          </w:tcPr>
          <w:p w14:paraId="6D70264B">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01A26129">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皮山县5个乡镇香菇基地供水配套建设项目</w:t>
            </w:r>
          </w:p>
        </w:tc>
        <w:tc>
          <w:tcPr>
            <w:tcW w:w="1650" w:type="dxa"/>
            <w:tcBorders>
              <w:top w:val="nil"/>
              <w:left w:val="nil"/>
              <w:bottom w:val="single" w:color="auto" w:sz="4" w:space="0"/>
              <w:right w:val="single" w:color="auto" w:sz="4" w:space="0"/>
            </w:tcBorders>
            <w:vAlign w:val="center"/>
          </w:tcPr>
          <w:p w14:paraId="7849FC8B">
            <w:pPr>
              <w:widowControl/>
              <w:jc w:val="center"/>
              <w:rPr>
                <w:rFonts w:ascii="宋体" w:hAnsi="宋体" w:eastAsia="宋体" w:cs="宋体"/>
                <w:kern w:val="0"/>
                <w:sz w:val="18"/>
                <w:szCs w:val="18"/>
              </w:rPr>
            </w:pPr>
            <w:r>
              <w:rPr>
                <w:rFonts w:hint="eastAsia" w:ascii="宋体" w:hAnsi="宋体" w:eastAsia="宋体" w:cs="宋体"/>
                <w:kern w:val="0"/>
                <w:sz w:val="18"/>
                <w:szCs w:val="18"/>
              </w:rPr>
              <w:t>其他资金</w:t>
            </w:r>
          </w:p>
        </w:tc>
        <w:tc>
          <w:tcPr>
            <w:tcW w:w="961" w:type="dxa"/>
            <w:tcBorders>
              <w:top w:val="nil"/>
              <w:left w:val="nil"/>
              <w:bottom w:val="single" w:color="auto" w:sz="4" w:space="0"/>
              <w:right w:val="single" w:color="auto" w:sz="4" w:space="0"/>
            </w:tcBorders>
            <w:vAlign w:val="center"/>
          </w:tcPr>
          <w:p w14:paraId="563AA86E">
            <w:pPr>
              <w:widowControl/>
              <w:jc w:val="center"/>
              <w:rPr>
                <w:rFonts w:ascii="宋体" w:hAnsi="宋体" w:eastAsia="宋体" w:cs="宋体"/>
                <w:kern w:val="0"/>
                <w:sz w:val="18"/>
                <w:szCs w:val="18"/>
              </w:rPr>
            </w:pPr>
            <w:r>
              <w:rPr>
                <w:rFonts w:hint="eastAsia" w:ascii="宋体" w:hAnsi="宋体" w:eastAsia="宋体" w:cs="宋体"/>
                <w:kern w:val="0"/>
                <w:sz w:val="18"/>
                <w:szCs w:val="18"/>
              </w:rPr>
              <w:t>389.29</w:t>
            </w:r>
          </w:p>
        </w:tc>
      </w:tr>
      <w:tr w14:paraId="502FF770">
        <w:tblPrEx>
          <w:tblCellMar>
            <w:top w:w="0" w:type="dxa"/>
            <w:left w:w="108" w:type="dxa"/>
            <w:bottom w:w="0" w:type="dxa"/>
            <w:right w:w="108" w:type="dxa"/>
          </w:tblCellMar>
        </w:tblPrEx>
        <w:trPr>
          <w:trHeight w:val="223" w:hRule="atLeast"/>
        </w:trPr>
        <w:tc>
          <w:tcPr>
            <w:tcW w:w="427" w:type="dxa"/>
            <w:tcBorders>
              <w:top w:val="nil"/>
              <w:left w:val="single" w:color="auto" w:sz="4" w:space="0"/>
              <w:bottom w:val="single" w:color="auto" w:sz="4" w:space="0"/>
              <w:right w:val="single" w:color="auto" w:sz="4" w:space="0"/>
            </w:tcBorders>
            <w:noWrap/>
            <w:vAlign w:val="center"/>
          </w:tcPr>
          <w:p w14:paraId="2FEAC69B">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15</w:t>
            </w:r>
          </w:p>
        </w:tc>
        <w:tc>
          <w:tcPr>
            <w:tcW w:w="961" w:type="dxa"/>
            <w:tcBorders>
              <w:top w:val="nil"/>
              <w:left w:val="nil"/>
              <w:bottom w:val="single" w:color="auto" w:sz="4" w:space="0"/>
              <w:right w:val="single" w:color="auto" w:sz="4" w:space="0"/>
            </w:tcBorders>
            <w:vAlign w:val="center"/>
          </w:tcPr>
          <w:p w14:paraId="6132CA89">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62B870B7">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皮山县兔养殖基地供水配套建设项目</w:t>
            </w:r>
          </w:p>
        </w:tc>
        <w:tc>
          <w:tcPr>
            <w:tcW w:w="1650" w:type="dxa"/>
            <w:tcBorders>
              <w:top w:val="nil"/>
              <w:left w:val="nil"/>
              <w:bottom w:val="single" w:color="auto" w:sz="4" w:space="0"/>
              <w:right w:val="single" w:color="auto" w:sz="4" w:space="0"/>
            </w:tcBorders>
            <w:vAlign w:val="center"/>
          </w:tcPr>
          <w:p w14:paraId="70F17BC3">
            <w:pPr>
              <w:widowControl/>
              <w:jc w:val="center"/>
              <w:rPr>
                <w:rFonts w:ascii="宋体" w:hAnsi="宋体" w:eastAsia="宋体" w:cs="宋体"/>
                <w:kern w:val="0"/>
                <w:sz w:val="18"/>
                <w:szCs w:val="18"/>
              </w:rPr>
            </w:pPr>
            <w:r>
              <w:rPr>
                <w:rFonts w:hint="eastAsia" w:ascii="宋体" w:hAnsi="宋体" w:eastAsia="宋体" w:cs="宋体"/>
                <w:kern w:val="0"/>
                <w:sz w:val="18"/>
                <w:szCs w:val="18"/>
              </w:rPr>
              <w:t>其他资金</w:t>
            </w:r>
          </w:p>
        </w:tc>
        <w:tc>
          <w:tcPr>
            <w:tcW w:w="961" w:type="dxa"/>
            <w:tcBorders>
              <w:top w:val="nil"/>
              <w:left w:val="nil"/>
              <w:bottom w:val="single" w:color="auto" w:sz="4" w:space="0"/>
              <w:right w:val="single" w:color="auto" w:sz="4" w:space="0"/>
            </w:tcBorders>
            <w:vAlign w:val="center"/>
          </w:tcPr>
          <w:p w14:paraId="590966B8">
            <w:pPr>
              <w:widowControl/>
              <w:jc w:val="center"/>
              <w:rPr>
                <w:rFonts w:ascii="宋体" w:hAnsi="宋体" w:eastAsia="宋体" w:cs="宋体"/>
                <w:kern w:val="0"/>
                <w:sz w:val="18"/>
                <w:szCs w:val="18"/>
              </w:rPr>
            </w:pPr>
            <w:r>
              <w:rPr>
                <w:rFonts w:hint="eastAsia" w:ascii="宋体" w:hAnsi="宋体" w:eastAsia="宋体" w:cs="宋体"/>
                <w:kern w:val="0"/>
                <w:sz w:val="18"/>
                <w:szCs w:val="18"/>
              </w:rPr>
              <w:t>399</w:t>
            </w:r>
          </w:p>
        </w:tc>
      </w:tr>
      <w:tr w14:paraId="17793E7E">
        <w:tblPrEx>
          <w:tblCellMar>
            <w:top w:w="0" w:type="dxa"/>
            <w:left w:w="108" w:type="dxa"/>
            <w:bottom w:w="0" w:type="dxa"/>
            <w:right w:w="108" w:type="dxa"/>
          </w:tblCellMar>
        </w:tblPrEx>
        <w:trPr>
          <w:trHeight w:val="201" w:hRule="atLeast"/>
        </w:trPr>
        <w:tc>
          <w:tcPr>
            <w:tcW w:w="427" w:type="dxa"/>
            <w:tcBorders>
              <w:top w:val="nil"/>
              <w:left w:val="single" w:color="auto" w:sz="4" w:space="0"/>
              <w:bottom w:val="single" w:color="auto" w:sz="4" w:space="0"/>
              <w:right w:val="single" w:color="auto" w:sz="4" w:space="0"/>
            </w:tcBorders>
            <w:noWrap/>
            <w:vAlign w:val="center"/>
          </w:tcPr>
          <w:p w14:paraId="33A873C0">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16</w:t>
            </w:r>
          </w:p>
        </w:tc>
        <w:tc>
          <w:tcPr>
            <w:tcW w:w="961" w:type="dxa"/>
            <w:tcBorders>
              <w:top w:val="nil"/>
              <w:left w:val="nil"/>
              <w:bottom w:val="single" w:color="auto" w:sz="4" w:space="0"/>
              <w:right w:val="single" w:color="auto" w:sz="4" w:space="0"/>
            </w:tcBorders>
            <w:vAlign w:val="center"/>
          </w:tcPr>
          <w:p w14:paraId="1B105D33">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947" w:type="dxa"/>
            <w:tcBorders>
              <w:top w:val="nil"/>
              <w:left w:val="nil"/>
              <w:bottom w:val="single" w:color="auto" w:sz="4" w:space="0"/>
              <w:right w:val="single" w:color="auto" w:sz="4" w:space="0"/>
            </w:tcBorders>
            <w:vAlign w:val="center"/>
          </w:tcPr>
          <w:p w14:paraId="6FC76E5C">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皮山县和佳新村温室大棚维修改造项目</w:t>
            </w:r>
          </w:p>
        </w:tc>
        <w:tc>
          <w:tcPr>
            <w:tcW w:w="1650" w:type="dxa"/>
            <w:tcBorders>
              <w:top w:val="nil"/>
              <w:left w:val="nil"/>
              <w:bottom w:val="single" w:color="auto" w:sz="4" w:space="0"/>
              <w:right w:val="single" w:color="auto" w:sz="4" w:space="0"/>
            </w:tcBorders>
            <w:vAlign w:val="center"/>
          </w:tcPr>
          <w:p w14:paraId="1924280D">
            <w:pPr>
              <w:widowControl/>
              <w:jc w:val="center"/>
              <w:rPr>
                <w:rFonts w:ascii="宋体" w:hAnsi="宋体" w:eastAsia="宋体" w:cs="宋体"/>
                <w:kern w:val="0"/>
                <w:sz w:val="18"/>
                <w:szCs w:val="18"/>
              </w:rPr>
            </w:pPr>
            <w:r>
              <w:rPr>
                <w:rFonts w:hint="eastAsia" w:ascii="宋体" w:hAnsi="宋体" w:eastAsia="宋体" w:cs="宋体"/>
                <w:kern w:val="0"/>
                <w:sz w:val="18"/>
                <w:szCs w:val="18"/>
              </w:rPr>
              <w:t>其他资金</w:t>
            </w:r>
          </w:p>
        </w:tc>
        <w:tc>
          <w:tcPr>
            <w:tcW w:w="961" w:type="dxa"/>
            <w:tcBorders>
              <w:top w:val="nil"/>
              <w:left w:val="nil"/>
              <w:bottom w:val="single" w:color="auto" w:sz="4" w:space="0"/>
              <w:right w:val="single" w:color="auto" w:sz="4" w:space="0"/>
            </w:tcBorders>
            <w:vAlign w:val="center"/>
          </w:tcPr>
          <w:p w14:paraId="4A832648">
            <w:pPr>
              <w:widowControl/>
              <w:jc w:val="center"/>
              <w:rPr>
                <w:rFonts w:ascii="宋体" w:hAnsi="宋体" w:eastAsia="宋体" w:cs="宋体"/>
                <w:kern w:val="0"/>
                <w:sz w:val="18"/>
                <w:szCs w:val="18"/>
              </w:rPr>
            </w:pPr>
            <w:r>
              <w:rPr>
                <w:rFonts w:hint="eastAsia" w:ascii="宋体" w:hAnsi="宋体" w:eastAsia="宋体" w:cs="宋体"/>
                <w:kern w:val="0"/>
                <w:sz w:val="18"/>
                <w:szCs w:val="18"/>
              </w:rPr>
              <w:t>860</w:t>
            </w:r>
          </w:p>
        </w:tc>
      </w:tr>
      <w:tr w14:paraId="12E845BE">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vAlign w:val="center"/>
          </w:tcPr>
          <w:p w14:paraId="6E06EF6C">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17</w:t>
            </w:r>
          </w:p>
        </w:tc>
        <w:tc>
          <w:tcPr>
            <w:tcW w:w="961" w:type="dxa"/>
            <w:tcBorders>
              <w:top w:val="nil"/>
              <w:left w:val="nil"/>
              <w:bottom w:val="single" w:color="auto" w:sz="4" w:space="0"/>
              <w:right w:val="single" w:color="auto" w:sz="4" w:space="0"/>
            </w:tcBorders>
            <w:vAlign w:val="center"/>
          </w:tcPr>
          <w:p w14:paraId="5E5B622F">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2022年</w:t>
            </w:r>
          </w:p>
        </w:tc>
        <w:tc>
          <w:tcPr>
            <w:tcW w:w="4947" w:type="dxa"/>
            <w:tcBorders>
              <w:top w:val="nil"/>
              <w:left w:val="nil"/>
              <w:bottom w:val="single" w:color="auto" w:sz="4" w:space="0"/>
              <w:right w:val="single" w:color="auto" w:sz="4" w:space="0"/>
            </w:tcBorders>
            <w:vAlign w:val="center"/>
          </w:tcPr>
          <w:p w14:paraId="25AC582F">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皮山县保鲜库建设项目</w:t>
            </w:r>
          </w:p>
        </w:tc>
        <w:tc>
          <w:tcPr>
            <w:tcW w:w="1650" w:type="dxa"/>
            <w:tcBorders>
              <w:top w:val="nil"/>
              <w:left w:val="nil"/>
              <w:bottom w:val="single" w:color="auto" w:sz="4" w:space="0"/>
              <w:right w:val="single" w:color="auto" w:sz="4" w:space="0"/>
            </w:tcBorders>
            <w:vAlign w:val="center"/>
          </w:tcPr>
          <w:p w14:paraId="0C48DFA5">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vAlign w:val="center"/>
          </w:tcPr>
          <w:p w14:paraId="5FA98573">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60</w:t>
            </w:r>
          </w:p>
        </w:tc>
      </w:tr>
      <w:tr w14:paraId="33544BBF">
        <w:tblPrEx>
          <w:tblCellMar>
            <w:top w:w="0" w:type="dxa"/>
            <w:left w:w="108" w:type="dxa"/>
            <w:bottom w:w="0" w:type="dxa"/>
            <w:right w:w="108" w:type="dxa"/>
          </w:tblCellMar>
        </w:tblPrEx>
        <w:trPr>
          <w:trHeight w:val="283" w:hRule="atLeast"/>
        </w:trPr>
        <w:tc>
          <w:tcPr>
            <w:tcW w:w="427" w:type="dxa"/>
            <w:tcBorders>
              <w:top w:val="nil"/>
              <w:left w:val="single" w:color="auto" w:sz="4" w:space="0"/>
              <w:bottom w:val="single" w:color="auto" w:sz="4" w:space="0"/>
              <w:right w:val="single" w:color="auto" w:sz="4" w:space="0"/>
            </w:tcBorders>
            <w:noWrap/>
            <w:vAlign w:val="center"/>
          </w:tcPr>
          <w:p w14:paraId="5396EA44">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18</w:t>
            </w:r>
          </w:p>
        </w:tc>
        <w:tc>
          <w:tcPr>
            <w:tcW w:w="961" w:type="dxa"/>
            <w:tcBorders>
              <w:top w:val="nil"/>
              <w:left w:val="nil"/>
              <w:bottom w:val="single" w:color="auto" w:sz="4" w:space="0"/>
              <w:right w:val="single" w:color="auto" w:sz="4" w:space="0"/>
            </w:tcBorders>
            <w:vAlign w:val="center"/>
          </w:tcPr>
          <w:p w14:paraId="47495C91">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2022年</w:t>
            </w:r>
          </w:p>
        </w:tc>
        <w:tc>
          <w:tcPr>
            <w:tcW w:w="4947" w:type="dxa"/>
            <w:tcBorders>
              <w:top w:val="nil"/>
              <w:left w:val="nil"/>
              <w:bottom w:val="single" w:color="auto" w:sz="4" w:space="0"/>
              <w:right w:val="single" w:color="auto" w:sz="4" w:space="0"/>
            </w:tcBorders>
            <w:vAlign w:val="center"/>
          </w:tcPr>
          <w:p w14:paraId="06616B0F">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皮山县木耳产业（地摆木耳）基地建设项目</w:t>
            </w:r>
          </w:p>
        </w:tc>
        <w:tc>
          <w:tcPr>
            <w:tcW w:w="1650" w:type="dxa"/>
            <w:tcBorders>
              <w:top w:val="nil"/>
              <w:left w:val="nil"/>
              <w:bottom w:val="single" w:color="auto" w:sz="4" w:space="0"/>
              <w:right w:val="single" w:color="auto" w:sz="4" w:space="0"/>
            </w:tcBorders>
            <w:vAlign w:val="center"/>
          </w:tcPr>
          <w:p w14:paraId="52F37517">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vAlign w:val="center"/>
          </w:tcPr>
          <w:p w14:paraId="6F40DD9A">
            <w:pPr>
              <w:widowControl/>
              <w:jc w:val="center"/>
              <w:rPr>
                <w:rFonts w:ascii="宋体" w:hAnsi="宋体" w:eastAsia="宋体" w:cs="宋体"/>
                <w:kern w:val="0"/>
                <w:sz w:val="18"/>
                <w:szCs w:val="18"/>
              </w:rPr>
            </w:pPr>
            <w:r>
              <w:rPr>
                <w:rFonts w:hint="eastAsia" w:ascii="宋体" w:hAnsi="宋体" w:eastAsia="宋体" w:cs="宋体"/>
                <w:kern w:val="0"/>
                <w:sz w:val="18"/>
                <w:szCs w:val="18"/>
              </w:rPr>
              <w:t>161</w:t>
            </w:r>
          </w:p>
        </w:tc>
      </w:tr>
      <w:tr w14:paraId="6EBD046E">
        <w:tblPrEx>
          <w:tblCellMar>
            <w:top w:w="0" w:type="dxa"/>
            <w:left w:w="108" w:type="dxa"/>
            <w:bottom w:w="0" w:type="dxa"/>
            <w:right w:w="108" w:type="dxa"/>
          </w:tblCellMar>
        </w:tblPrEx>
        <w:trPr>
          <w:trHeight w:val="277" w:hRule="atLeast"/>
        </w:trPr>
        <w:tc>
          <w:tcPr>
            <w:tcW w:w="427" w:type="dxa"/>
            <w:tcBorders>
              <w:top w:val="nil"/>
              <w:left w:val="single" w:color="auto" w:sz="4" w:space="0"/>
              <w:bottom w:val="single" w:color="auto" w:sz="4" w:space="0"/>
              <w:right w:val="single" w:color="auto" w:sz="4" w:space="0"/>
            </w:tcBorders>
            <w:noWrap/>
            <w:vAlign w:val="center"/>
          </w:tcPr>
          <w:p w14:paraId="4556EE87">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19</w:t>
            </w:r>
          </w:p>
        </w:tc>
        <w:tc>
          <w:tcPr>
            <w:tcW w:w="961" w:type="dxa"/>
            <w:tcBorders>
              <w:top w:val="nil"/>
              <w:left w:val="nil"/>
              <w:bottom w:val="single" w:color="auto" w:sz="4" w:space="0"/>
              <w:right w:val="single" w:color="auto" w:sz="4" w:space="0"/>
            </w:tcBorders>
            <w:vAlign w:val="center"/>
          </w:tcPr>
          <w:p w14:paraId="551C9977">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2022年</w:t>
            </w:r>
          </w:p>
        </w:tc>
        <w:tc>
          <w:tcPr>
            <w:tcW w:w="4947" w:type="dxa"/>
            <w:tcBorders>
              <w:top w:val="nil"/>
              <w:left w:val="nil"/>
              <w:bottom w:val="single" w:color="auto" w:sz="4" w:space="0"/>
              <w:right w:val="single" w:color="auto" w:sz="4" w:space="0"/>
            </w:tcBorders>
            <w:vAlign w:val="center"/>
          </w:tcPr>
          <w:p w14:paraId="165623A1">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皮山县贫困国营牧场产业发展项目</w:t>
            </w:r>
          </w:p>
        </w:tc>
        <w:tc>
          <w:tcPr>
            <w:tcW w:w="1650" w:type="dxa"/>
            <w:tcBorders>
              <w:top w:val="nil"/>
              <w:left w:val="nil"/>
              <w:bottom w:val="single" w:color="auto" w:sz="4" w:space="0"/>
              <w:right w:val="single" w:color="auto" w:sz="4" w:space="0"/>
            </w:tcBorders>
            <w:vAlign w:val="center"/>
          </w:tcPr>
          <w:p w14:paraId="2BF76E56">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vAlign w:val="center"/>
          </w:tcPr>
          <w:p w14:paraId="4A73EC3A">
            <w:pPr>
              <w:widowControl/>
              <w:jc w:val="center"/>
              <w:rPr>
                <w:rFonts w:ascii="宋体" w:hAnsi="宋体" w:eastAsia="宋体" w:cs="宋体"/>
                <w:kern w:val="0"/>
                <w:sz w:val="18"/>
                <w:szCs w:val="18"/>
              </w:rPr>
            </w:pPr>
            <w:r>
              <w:rPr>
                <w:rFonts w:hint="eastAsia" w:ascii="宋体" w:hAnsi="宋体" w:eastAsia="宋体" w:cs="宋体"/>
                <w:kern w:val="0"/>
                <w:sz w:val="18"/>
                <w:szCs w:val="18"/>
              </w:rPr>
              <w:t>129</w:t>
            </w:r>
          </w:p>
        </w:tc>
      </w:tr>
      <w:tr w14:paraId="2E02D3E5">
        <w:tblPrEx>
          <w:tblCellMar>
            <w:top w:w="0" w:type="dxa"/>
            <w:left w:w="108" w:type="dxa"/>
            <w:bottom w:w="0" w:type="dxa"/>
            <w:right w:w="108" w:type="dxa"/>
          </w:tblCellMar>
        </w:tblPrEx>
        <w:trPr>
          <w:trHeight w:val="256" w:hRule="atLeast"/>
        </w:trPr>
        <w:tc>
          <w:tcPr>
            <w:tcW w:w="427" w:type="dxa"/>
            <w:tcBorders>
              <w:top w:val="nil"/>
              <w:left w:val="single" w:color="auto" w:sz="4" w:space="0"/>
              <w:bottom w:val="single" w:color="auto" w:sz="4" w:space="0"/>
              <w:right w:val="single" w:color="auto" w:sz="4" w:space="0"/>
            </w:tcBorders>
            <w:noWrap/>
            <w:vAlign w:val="center"/>
          </w:tcPr>
          <w:p w14:paraId="68BCD83A">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w:t>
            </w:r>
          </w:p>
        </w:tc>
        <w:tc>
          <w:tcPr>
            <w:tcW w:w="961" w:type="dxa"/>
            <w:tcBorders>
              <w:top w:val="nil"/>
              <w:left w:val="nil"/>
              <w:bottom w:val="single" w:color="auto" w:sz="4" w:space="0"/>
              <w:right w:val="single" w:color="auto" w:sz="4" w:space="0"/>
            </w:tcBorders>
            <w:vAlign w:val="center"/>
          </w:tcPr>
          <w:p w14:paraId="0CD928B0">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2022年</w:t>
            </w:r>
          </w:p>
        </w:tc>
        <w:tc>
          <w:tcPr>
            <w:tcW w:w="4947" w:type="dxa"/>
            <w:tcBorders>
              <w:top w:val="nil"/>
              <w:left w:val="nil"/>
              <w:bottom w:val="single" w:color="auto" w:sz="4" w:space="0"/>
              <w:right w:val="single" w:color="auto" w:sz="4" w:space="0"/>
            </w:tcBorders>
            <w:vAlign w:val="center"/>
          </w:tcPr>
          <w:p w14:paraId="0D7F51BA">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皮山县设施农业大棚附属配套工程建设项目（拱棚及相关配套部分）</w:t>
            </w:r>
          </w:p>
        </w:tc>
        <w:tc>
          <w:tcPr>
            <w:tcW w:w="1650" w:type="dxa"/>
            <w:tcBorders>
              <w:top w:val="nil"/>
              <w:left w:val="nil"/>
              <w:bottom w:val="single" w:color="auto" w:sz="4" w:space="0"/>
              <w:right w:val="single" w:color="auto" w:sz="4" w:space="0"/>
            </w:tcBorders>
            <w:vAlign w:val="center"/>
          </w:tcPr>
          <w:p w14:paraId="3BA167C2">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vAlign w:val="center"/>
          </w:tcPr>
          <w:p w14:paraId="02CEC47F">
            <w:pPr>
              <w:widowControl/>
              <w:jc w:val="center"/>
              <w:rPr>
                <w:rFonts w:ascii="宋体" w:hAnsi="宋体" w:eastAsia="宋体" w:cs="宋体"/>
                <w:kern w:val="0"/>
                <w:sz w:val="18"/>
                <w:szCs w:val="18"/>
              </w:rPr>
            </w:pPr>
            <w:r>
              <w:rPr>
                <w:rFonts w:hint="eastAsia" w:ascii="宋体" w:hAnsi="宋体" w:eastAsia="宋体" w:cs="宋体"/>
                <w:kern w:val="0"/>
                <w:sz w:val="18"/>
                <w:szCs w:val="18"/>
              </w:rPr>
              <w:t>375.89</w:t>
            </w:r>
          </w:p>
        </w:tc>
      </w:tr>
      <w:tr w14:paraId="06484D13">
        <w:tblPrEx>
          <w:tblCellMar>
            <w:top w:w="0" w:type="dxa"/>
            <w:left w:w="108" w:type="dxa"/>
            <w:bottom w:w="0" w:type="dxa"/>
            <w:right w:w="108" w:type="dxa"/>
          </w:tblCellMar>
        </w:tblPrEx>
        <w:trPr>
          <w:trHeight w:val="97" w:hRule="atLeast"/>
        </w:trPr>
        <w:tc>
          <w:tcPr>
            <w:tcW w:w="427" w:type="dxa"/>
            <w:tcBorders>
              <w:top w:val="nil"/>
              <w:left w:val="single" w:color="auto" w:sz="4" w:space="0"/>
              <w:bottom w:val="single" w:color="auto" w:sz="4" w:space="0"/>
              <w:right w:val="single" w:color="auto" w:sz="4" w:space="0"/>
            </w:tcBorders>
            <w:noWrap/>
            <w:vAlign w:val="center"/>
          </w:tcPr>
          <w:p w14:paraId="39957CC1">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21</w:t>
            </w:r>
          </w:p>
        </w:tc>
        <w:tc>
          <w:tcPr>
            <w:tcW w:w="961" w:type="dxa"/>
            <w:tcBorders>
              <w:top w:val="nil"/>
              <w:left w:val="nil"/>
              <w:bottom w:val="single" w:color="auto" w:sz="4" w:space="0"/>
              <w:right w:val="single" w:color="auto" w:sz="4" w:space="0"/>
            </w:tcBorders>
            <w:vAlign w:val="center"/>
          </w:tcPr>
          <w:p w14:paraId="6B368FC1">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2022年</w:t>
            </w:r>
          </w:p>
        </w:tc>
        <w:tc>
          <w:tcPr>
            <w:tcW w:w="4947" w:type="dxa"/>
            <w:tcBorders>
              <w:top w:val="nil"/>
              <w:left w:val="nil"/>
              <w:bottom w:val="single" w:color="auto" w:sz="4" w:space="0"/>
              <w:right w:val="single" w:color="auto" w:sz="4" w:space="0"/>
            </w:tcBorders>
            <w:vAlign w:val="center"/>
          </w:tcPr>
          <w:p w14:paraId="06195E7E">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皮山县2022年乡村振兴重点示范村牲畜棚圈建设项目</w:t>
            </w:r>
          </w:p>
        </w:tc>
        <w:tc>
          <w:tcPr>
            <w:tcW w:w="1650" w:type="dxa"/>
            <w:tcBorders>
              <w:top w:val="nil"/>
              <w:left w:val="nil"/>
              <w:bottom w:val="single" w:color="auto" w:sz="4" w:space="0"/>
              <w:right w:val="single" w:color="auto" w:sz="4" w:space="0"/>
            </w:tcBorders>
            <w:vAlign w:val="center"/>
          </w:tcPr>
          <w:p w14:paraId="2E11E0EE">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vAlign w:val="center"/>
          </w:tcPr>
          <w:p w14:paraId="157A62C6">
            <w:pPr>
              <w:widowControl/>
              <w:jc w:val="center"/>
              <w:rPr>
                <w:rFonts w:ascii="宋体" w:hAnsi="宋体" w:eastAsia="宋体" w:cs="宋体"/>
                <w:kern w:val="0"/>
                <w:sz w:val="18"/>
                <w:szCs w:val="18"/>
              </w:rPr>
            </w:pPr>
            <w:r>
              <w:rPr>
                <w:rFonts w:hint="eastAsia" w:ascii="宋体" w:hAnsi="宋体" w:eastAsia="宋体" w:cs="宋体"/>
                <w:kern w:val="0"/>
                <w:sz w:val="18"/>
                <w:szCs w:val="18"/>
              </w:rPr>
              <w:t>981.6</w:t>
            </w:r>
          </w:p>
        </w:tc>
      </w:tr>
      <w:tr w14:paraId="6C6BCBAE">
        <w:tblPrEx>
          <w:tblCellMar>
            <w:top w:w="0" w:type="dxa"/>
            <w:left w:w="108" w:type="dxa"/>
            <w:bottom w:w="0" w:type="dxa"/>
            <w:right w:w="108" w:type="dxa"/>
          </w:tblCellMar>
        </w:tblPrEx>
        <w:trPr>
          <w:trHeight w:val="209" w:hRule="atLeast"/>
        </w:trPr>
        <w:tc>
          <w:tcPr>
            <w:tcW w:w="427" w:type="dxa"/>
            <w:tcBorders>
              <w:top w:val="nil"/>
              <w:left w:val="single" w:color="auto" w:sz="4" w:space="0"/>
              <w:bottom w:val="single" w:color="auto" w:sz="4" w:space="0"/>
              <w:right w:val="single" w:color="auto" w:sz="4" w:space="0"/>
            </w:tcBorders>
            <w:noWrap/>
            <w:vAlign w:val="center"/>
          </w:tcPr>
          <w:p w14:paraId="0DCEBA86">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22</w:t>
            </w:r>
          </w:p>
        </w:tc>
        <w:tc>
          <w:tcPr>
            <w:tcW w:w="961" w:type="dxa"/>
            <w:tcBorders>
              <w:top w:val="nil"/>
              <w:left w:val="nil"/>
              <w:bottom w:val="single" w:color="auto" w:sz="4" w:space="0"/>
              <w:right w:val="single" w:color="auto" w:sz="4" w:space="0"/>
            </w:tcBorders>
            <w:vAlign w:val="center"/>
          </w:tcPr>
          <w:p w14:paraId="51A4E526">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2022年</w:t>
            </w:r>
          </w:p>
        </w:tc>
        <w:tc>
          <w:tcPr>
            <w:tcW w:w="4947" w:type="dxa"/>
            <w:tcBorders>
              <w:top w:val="nil"/>
              <w:left w:val="nil"/>
              <w:bottom w:val="single" w:color="auto" w:sz="4" w:space="0"/>
              <w:right w:val="single" w:color="auto" w:sz="4" w:space="0"/>
            </w:tcBorders>
            <w:vAlign w:val="center"/>
          </w:tcPr>
          <w:p w14:paraId="7FE59832">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皮山县壮大村集体经济-多胎生产母羊采购项目</w:t>
            </w:r>
          </w:p>
        </w:tc>
        <w:tc>
          <w:tcPr>
            <w:tcW w:w="1650" w:type="dxa"/>
            <w:tcBorders>
              <w:top w:val="nil"/>
              <w:left w:val="nil"/>
              <w:bottom w:val="single" w:color="auto" w:sz="4" w:space="0"/>
              <w:right w:val="single" w:color="auto" w:sz="4" w:space="0"/>
            </w:tcBorders>
            <w:vAlign w:val="center"/>
          </w:tcPr>
          <w:p w14:paraId="76EA8587">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vAlign w:val="center"/>
          </w:tcPr>
          <w:p w14:paraId="3C0BC819">
            <w:pPr>
              <w:widowControl/>
              <w:jc w:val="center"/>
              <w:rPr>
                <w:rFonts w:ascii="宋体" w:hAnsi="宋体" w:eastAsia="宋体" w:cs="宋体"/>
                <w:kern w:val="0"/>
                <w:sz w:val="18"/>
                <w:szCs w:val="18"/>
              </w:rPr>
            </w:pPr>
            <w:r>
              <w:rPr>
                <w:rFonts w:hint="eastAsia" w:ascii="宋体" w:hAnsi="宋体" w:eastAsia="宋体" w:cs="宋体"/>
                <w:kern w:val="0"/>
                <w:sz w:val="18"/>
                <w:szCs w:val="18"/>
              </w:rPr>
              <w:t>2500</w:t>
            </w:r>
          </w:p>
        </w:tc>
      </w:tr>
      <w:tr w14:paraId="0DA6B2A6">
        <w:tblPrEx>
          <w:tblCellMar>
            <w:top w:w="0" w:type="dxa"/>
            <w:left w:w="108" w:type="dxa"/>
            <w:bottom w:w="0" w:type="dxa"/>
            <w:right w:w="108" w:type="dxa"/>
          </w:tblCellMar>
        </w:tblPrEx>
        <w:trPr>
          <w:trHeight w:val="456" w:hRule="atLeast"/>
        </w:trPr>
        <w:tc>
          <w:tcPr>
            <w:tcW w:w="427" w:type="dxa"/>
            <w:tcBorders>
              <w:top w:val="nil"/>
              <w:left w:val="single" w:color="auto" w:sz="4" w:space="0"/>
              <w:bottom w:val="single" w:color="auto" w:sz="4" w:space="0"/>
              <w:right w:val="single" w:color="auto" w:sz="4" w:space="0"/>
            </w:tcBorders>
            <w:noWrap/>
            <w:vAlign w:val="center"/>
          </w:tcPr>
          <w:p w14:paraId="59F71114">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23</w:t>
            </w:r>
          </w:p>
        </w:tc>
        <w:tc>
          <w:tcPr>
            <w:tcW w:w="961" w:type="dxa"/>
            <w:tcBorders>
              <w:top w:val="nil"/>
              <w:left w:val="nil"/>
              <w:bottom w:val="single" w:color="auto" w:sz="4" w:space="0"/>
              <w:right w:val="single" w:color="auto" w:sz="4" w:space="0"/>
            </w:tcBorders>
            <w:vAlign w:val="center"/>
          </w:tcPr>
          <w:p w14:paraId="3AD0C781">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2022年</w:t>
            </w:r>
          </w:p>
        </w:tc>
        <w:tc>
          <w:tcPr>
            <w:tcW w:w="4947" w:type="dxa"/>
            <w:tcBorders>
              <w:top w:val="nil"/>
              <w:left w:val="nil"/>
              <w:bottom w:val="single" w:color="auto" w:sz="4" w:space="0"/>
              <w:right w:val="single" w:color="auto" w:sz="4" w:space="0"/>
            </w:tcBorders>
            <w:vAlign w:val="center"/>
          </w:tcPr>
          <w:p w14:paraId="4FF16469">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皮山县乔达乡多胎羊扩繁场建设项目</w:t>
            </w:r>
          </w:p>
        </w:tc>
        <w:tc>
          <w:tcPr>
            <w:tcW w:w="1650" w:type="dxa"/>
            <w:tcBorders>
              <w:top w:val="nil"/>
              <w:left w:val="nil"/>
              <w:bottom w:val="single" w:color="auto" w:sz="4" w:space="0"/>
              <w:right w:val="single" w:color="auto" w:sz="4" w:space="0"/>
            </w:tcBorders>
            <w:vAlign w:val="center"/>
          </w:tcPr>
          <w:p w14:paraId="1125A9EA">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vAlign w:val="center"/>
          </w:tcPr>
          <w:p w14:paraId="5DFAA54D">
            <w:pPr>
              <w:widowControl/>
              <w:jc w:val="center"/>
              <w:rPr>
                <w:rFonts w:ascii="宋体" w:hAnsi="宋体" w:eastAsia="宋体" w:cs="宋体"/>
                <w:kern w:val="0"/>
                <w:sz w:val="18"/>
                <w:szCs w:val="18"/>
              </w:rPr>
            </w:pPr>
            <w:r>
              <w:rPr>
                <w:rFonts w:hint="eastAsia" w:ascii="宋体" w:hAnsi="宋体" w:eastAsia="宋体" w:cs="宋体"/>
                <w:kern w:val="0"/>
                <w:sz w:val="18"/>
                <w:szCs w:val="18"/>
              </w:rPr>
              <w:t>6000</w:t>
            </w:r>
          </w:p>
        </w:tc>
      </w:tr>
      <w:tr w14:paraId="6430CBF2">
        <w:tblPrEx>
          <w:tblCellMar>
            <w:top w:w="0" w:type="dxa"/>
            <w:left w:w="108" w:type="dxa"/>
            <w:bottom w:w="0" w:type="dxa"/>
            <w:right w:w="108" w:type="dxa"/>
          </w:tblCellMar>
        </w:tblPrEx>
        <w:trPr>
          <w:trHeight w:val="293" w:hRule="atLeast"/>
        </w:trPr>
        <w:tc>
          <w:tcPr>
            <w:tcW w:w="427" w:type="dxa"/>
            <w:tcBorders>
              <w:top w:val="nil"/>
              <w:left w:val="single" w:color="auto" w:sz="4" w:space="0"/>
              <w:bottom w:val="single" w:color="auto" w:sz="4" w:space="0"/>
              <w:right w:val="single" w:color="auto" w:sz="4" w:space="0"/>
            </w:tcBorders>
            <w:noWrap/>
            <w:vAlign w:val="center"/>
          </w:tcPr>
          <w:p w14:paraId="2624A6FD">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24</w:t>
            </w:r>
          </w:p>
        </w:tc>
        <w:tc>
          <w:tcPr>
            <w:tcW w:w="961" w:type="dxa"/>
            <w:tcBorders>
              <w:top w:val="nil"/>
              <w:left w:val="nil"/>
              <w:bottom w:val="single" w:color="auto" w:sz="4" w:space="0"/>
              <w:right w:val="single" w:color="auto" w:sz="4" w:space="0"/>
            </w:tcBorders>
            <w:vAlign w:val="center"/>
          </w:tcPr>
          <w:p w14:paraId="252EBD7F">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2022年</w:t>
            </w:r>
          </w:p>
        </w:tc>
        <w:tc>
          <w:tcPr>
            <w:tcW w:w="4947" w:type="dxa"/>
            <w:tcBorders>
              <w:top w:val="nil"/>
              <w:left w:val="nil"/>
              <w:bottom w:val="single" w:color="auto" w:sz="4" w:space="0"/>
              <w:right w:val="single" w:color="auto" w:sz="4" w:space="0"/>
            </w:tcBorders>
            <w:vAlign w:val="center"/>
          </w:tcPr>
          <w:p w14:paraId="31182BB2">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皮山县2022年食用菌大棚建设项目</w:t>
            </w:r>
          </w:p>
        </w:tc>
        <w:tc>
          <w:tcPr>
            <w:tcW w:w="1650" w:type="dxa"/>
            <w:tcBorders>
              <w:top w:val="nil"/>
              <w:left w:val="nil"/>
              <w:bottom w:val="single" w:color="auto" w:sz="4" w:space="0"/>
              <w:right w:val="single" w:color="auto" w:sz="4" w:space="0"/>
            </w:tcBorders>
            <w:vAlign w:val="center"/>
          </w:tcPr>
          <w:p w14:paraId="128642A4">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vAlign w:val="center"/>
          </w:tcPr>
          <w:p w14:paraId="47508E35">
            <w:pPr>
              <w:widowControl/>
              <w:jc w:val="center"/>
              <w:rPr>
                <w:rFonts w:ascii="宋体" w:hAnsi="宋体" w:eastAsia="宋体" w:cs="宋体"/>
                <w:kern w:val="0"/>
                <w:sz w:val="18"/>
                <w:szCs w:val="18"/>
              </w:rPr>
            </w:pPr>
            <w:r>
              <w:rPr>
                <w:rFonts w:hint="eastAsia" w:ascii="宋体" w:hAnsi="宋体" w:eastAsia="宋体" w:cs="宋体"/>
                <w:kern w:val="0"/>
                <w:sz w:val="18"/>
                <w:szCs w:val="18"/>
              </w:rPr>
              <w:t>2251.2</w:t>
            </w:r>
          </w:p>
        </w:tc>
      </w:tr>
      <w:tr w14:paraId="32C7FE14">
        <w:tblPrEx>
          <w:tblCellMar>
            <w:top w:w="0" w:type="dxa"/>
            <w:left w:w="108" w:type="dxa"/>
            <w:bottom w:w="0" w:type="dxa"/>
            <w:right w:w="108" w:type="dxa"/>
          </w:tblCellMar>
        </w:tblPrEx>
        <w:trPr>
          <w:trHeight w:val="271" w:hRule="atLeast"/>
        </w:trPr>
        <w:tc>
          <w:tcPr>
            <w:tcW w:w="427" w:type="dxa"/>
            <w:tcBorders>
              <w:top w:val="nil"/>
              <w:left w:val="single" w:color="auto" w:sz="4" w:space="0"/>
              <w:bottom w:val="single" w:color="auto" w:sz="4" w:space="0"/>
              <w:right w:val="single" w:color="auto" w:sz="4" w:space="0"/>
            </w:tcBorders>
            <w:noWrap/>
            <w:vAlign w:val="center"/>
          </w:tcPr>
          <w:p w14:paraId="7004587D">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25</w:t>
            </w:r>
          </w:p>
        </w:tc>
        <w:tc>
          <w:tcPr>
            <w:tcW w:w="961" w:type="dxa"/>
            <w:tcBorders>
              <w:top w:val="nil"/>
              <w:left w:val="nil"/>
              <w:bottom w:val="single" w:color="auto" w:sz="4" w:space="0"/>
              <w:right w:val="single" w:color="auto" w:sz="4" w:space="0"/>
            </w:tcBorders>
            <w:vAlign w:val="center"/>
          </w:tcPr>
          <w:p w14:paraId="6352C09A">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2023年</w:t>
            </w:r>
          </w:p>
        </w:tc>
        <w:tc>
          <w:tcPr>
            <w:tcW w:w="4947" w:type="dxa"/>
            <w:tcBorders>
              <w:top w:val="nil"/>
              <w:left w:val="nil"/>
              <w:bottom w:val="single" w:color="auto" w:sz="4" w:space="0"/>
              <w:right w:val="single" w:color="auto" w:sz="4" w:space="0"/>
            </w:tcBorders>
            <w:vAlign w:val="center"/>
          </w:tcPr>
          <w:p w14:paraId="1C6C7C90">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皮山县设施农业大棚维修改造项目</w:t>
            </w:r>
          </w:p>
        </w:tc>
        <w:tc>
          <w:tcPr>
            <w:tcW w:w="1650" w:type="dxa"/>
            <w:tcBorders>
              <w:top w:val="nil"/>
              <w:left w:val="nil"/>
              <w:bottom w:val="single" w:color="auto" w:sz="4" w:space="0"/>
              <w:right w:val="single" w:color="auto" w:sz="4" w:space="0"/>
            </w:tcBorders>
            <w:vAlign w:val="center"/>
          </w:tcPr>
          <w:p w14:paraId="0D99DCFB">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vAlign w:val="center"/>
          </w:tcPr>
          <w:p w14:paraId="32B7816C">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1472.51</w:t>
            </w:r>
          </w:p>
        </w:tc>
      </w:tr>
      <w:tr w14:paraId="0DA6995B">
        <w:tblPrEx>
          <w:tblCellMar>
            <w:top w:w="0" w:type="dxa"/>
            <w:left w:w="108" w:type="dxa"/>
            <w:bottom w:w="0" w:type="dxa"/>
            <w:right w:w="108" w:type="dxa"/>
          </w:tblCellMar>
        </w:tblPrEx>
        <w:trPr>
          <w:trHeight w:val="235" w:hRule="atLeast"/>
        </w:trPr>
        <w:tc>
          <w:tcPr>
            <w:tcW w:w="427" w:type="dxa"/>
            <w:tcBorders>
              <w:top w:val="nil"/>
              <w:left w:val="single" w:color="auto" w:sz="4" w:space="0"/>
              <w:bottom w:val="single" w:color="auto" w:sz="4" w:space="0"/>
              <w:right w:val="single" w:color="auto" w:sz="4" w:space="0"/>
            </w:tcBorders>
            <w:noWrap/>
            <w:vAlign w:val="center"/>
          </w:tcPr>
          <w:p w14:paraId="7F88FBEE">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26</w:t>
            </w:r>
          </w:p>
        </w:tc>
        <w:tc>
          <w:tcPr>
            <w:tcW w:w="961" w:type="dxa"/>
            <w:tcBorders>
              <w:top w:val="nil"/>
              <w:left w:val="nil"/>
              <w:bottom w:val="single" w:color="auto" w:sz="4" w:space="0"/>
              <w:right w:val="single" w:color="auto" w:sz="4" w:space="0"/>
            </w:tcBorders>
            <w:vAlign w:val="center"/>
          </w:tcPr>
          <w:p w14:paraId="64AFC06E">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2023年</w:t>
            </w:r>
          </w:p>
        </w:tc>
        <w:tc>
          <w:tcPr>
            <w:tcW w:w="4947" w:type="dxa"/>
            <w:tcBorders>
              <w:top w:val="nil"/>
              <w:left w:val="nil"/>
              <w:bottom w:val="single" w:color="auto" w:sz="4" w:space="0"/>
              <w:right w:val="single" w:color="auto" w:sz="4" w:space="0"/>
            </w:tcBorders>
            <w:vAlign w:val="center"/>
          </w:tcPr>
          <w:p w14:paraId="04B714DC">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皮山县2023年壮大村集体经济项目-多胎羊购置项目</w:t>
            </w:r>
          </w:p>
        </w:tc>
        <w:tc>
          <w:tcPr>
            <w:tcW w:w="1650" w:type="dxa"/>
            <w:tcBorders>
              <w:top w:val="nil"/>
              <w:left w:val="nil"/>
              <w:bottom w:val="single" w:color="auto" w:sz="4" w:space="0"/>
              <w:right w:val="single" w:color="auto" w:sz="4" w:space="0"/>
            </w:tcBorders>
            <w:vAlign w:val="center"/>
          </w:tcPr>
          <w:p w14:paraId="313EFDD8">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vAlign w:val="center"/>
          </w:tcPr>
          <w:p w14:paraId="7000AD6C">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930</w:t>
            </w:r>
          </w:p>
        </w:tc>
      </w:tr>
      <w:tr w14:paraId="4471D841">
        <w:tblPrEx>
          <w:tblCellMar>
            <w:top w:w="0" w:type="dxa"/>
            <w:left w:w="108" w:type="dxa"/>
            <w:bottom w:w="0" w:type="dxa"/>
            <w:right w:w="108" w:type="dxa"/>
          </w:tblCellMar>
        </w:tblPrEx>
        <w:trPr>
          <w:trHeight w:val="361" w:hRule="atLeast"/>
        </w:trPr>
        <w:tc>
          <w:tcPr>
            <w:tcW w:w="427" w:type="dxa"/>
            <w:tcBorders>
              <w:top w:val="nil"/>
              <w:left w:val="single" w:color="auto" w:sz="4" w:space="0"/>
              <w:bottom w:val="single" w:color="auto" w:sz="4" w:space="0"/>
              <w:right w:val="single" w:color="auto" w:sz="4" w:space="0"/>
            </w:tcBorders>
            <w:noWrap/>
            <w:vAlign w:val="center"/>
          </w:tcPr>
          <w:p w14:paraId="089BF84B">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27</w:t>
            </w:r>
          </w:p>
        </w:tc>
        <w:tc>
          <w:tcPr>
            <w:tcW w:w="961" w:type="dxa"/>
            <w:tcBorders>
              <w:top w:val="nil"/>
              <w:left w:val="nil"/>
              <w:bottom w:val="single" w:color="auto" w:sz="4" w:space="0"/>
              <w:right w:val="single" w:color="auto" w:sz="4" w:space="0"/>
            </w:tcBorders>
            <w:vAlign w:val="center"/>
          </w:tcPr>
          <w:p w14:paraId="29F28F51">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2023年</w:t>
            </w:r>
          </w:p>
        </w:tc>
        <w:tc>
          <w:tcPr>
            <w:tcW w:w="4947" w:type="dxa"/>
            <w:tcBorders>
              <w:top w:val="nil"/>
              <w:left w:val="nil"/>
              <w:bottom w:val="single" w:color="auto" w:sz="4" w:space="0"/>
              <w:right w:val="single" w:color="auto" w:sz="4" w:space="0"/>
            </w:tcBorders>
            <w:vAlign w:val="center"/>
          </w:tcPr>
          <w:p w14:paraId="56B0DC41">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皮山县乡村振兴提升补助项目-特色养殖补助项目</w:t>
            </w:r>
          </w:p>
        </w:tc>
        <w:tc>
          <w:tcPr>
            <w:tcW w:w="1650" w:type="dxa"/>
            <w:tcBorders>
              <w:top w:val="nil"/>
              <w:left w:val="nil"/>
              <w:bottom w:val="single" w:color="auto" w:sz="4" w:space="0"/>
              <w:right w:val="single" w:color="auto" w:sz="4" w:space="0"/>
            </w:tcBorders>
            <w:vAlign w:val="center"/>
          </w:tcPr>
          <w:p w14:paraId="58675B91">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安徽援疆资金</w:t>
            </w:r>
          </w:p>
        </w:tc>
        <w:tc>
          <w:tcPr>
            <w:tcW w:w="961" w:type="dxa"/>
            <w:tcBorders>
              <w:top w:val="nil"/>
              <w:left w:val="nil"/>
              <w:bottom w:val="single" w:color="auto" w:sz="4" w:space="0"/>
              <w:right w:val="single" w:color="auto" w:sz="4" w:space="0"/>
            </w:tcBorders>
            <w:vAlign w:val="center"/>
          </w:tcPr>
          <w:p w14:paraId="6BBA2403">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520</w:t>
            </w:r>
          </w:p>
        </w:tc>
      </w:tr>
      <w:tr w14:paraId="138FCAB4">
        <w:tblPrEx>
          <w:tblCellMar>
            <w:top w:w="0" w:type="dxa"/>
            <w:left w:w="108" w:type="dxa"/>
            <w:bottom w:w="0" w:type="dxa"/>
            <w:right w:w="108" w:type="dxa"/>
          </w:tblCellMar>
        </w:tblPrEx>
        <w:trPr>
          <w:trHeight w:val="339" w:hRule="atLeast"/>
        </w:trPr>
        <w:tc>
          <w:tcPr>
            <w:tcW w:w="427" w:type="dxa"/>
            <w:tcBorders>
              <w:top w:val="nil"/>
              <w:left w:val="single" w:color="auto" w:sz="4" w:space="0"/>
              <w:bottom w:val="single" w:color="auto" w:sz="4" w:space="0"/>
              <w:right w:val="single" w:color="auto" w:sz="4" w:space="0"/>
            </w:tcBorders>
            <w:noWrap/>
            <w:vAlign w:val="center"/>
          </w:tcPr>
          <w:p w14:paraId="2F19ACA1">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28</w:t>
            </w:r>
          </w:p>
        </w:tc>
        <w:tc>
          <w:tcPr>
            <w:tcW w:w="961" w:type="dxa"/>
            <w:tcBorders>
              <w:top w:val="nil"/>
              <w:left w:val="nil"/>
              <w:bottom w:val="single" w:color="auto" w:sz="4" w:space="0"/>
              <w:right w:val="single" w:color="auto" w:sz="4" w:space="0"/>
            </w:tcBorders>
            <w:vAlign w:val="center"/>
          </w:tcPr>
          <w:p w14:paraId="6B03C6FE">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2023年</w:t>
            </w:r>
          </w:p>
        </w:tc>
        <w:tc>
          <w:tcPr>
            <w:tcW w:w="4947" w:type="dxa"/>
            <w:tcBorders>
              <w:top w:val="nil"/>
              <w:left w:val="nil"/>
              <w:bottom w:val="single" w:color="auto" w:sz="4" w:space="0"/>
              <w:right w:val="single" w:color="auto" w:sz="4" w:space="0"/>
            </w:tcBorders>
            <w:vAlign w:val="center"/>
          </w:tcPr>
          <w:p w14:paraId="78CA9A4F">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皮山县乡村振兴提升补助项目-特色养殖补助项目</w:t>
            </w:r>
          </w:p>
        </w:tc>
        <w:tc>
          <w:tcPr>
            <w:tcW w:w="1650" w:type="dxa"/>
            <w:tcBorders>
              <w:top w:val="nil"/>
              <w:left w:val="nil"/>
              <w:bottom w:val="single" w:color="auto" w:sz="4" w:space="0"/>
              <w:right w:val="single" w:color="auto" w:sz="4" w:space="0"/>
            </w:tcBorders>
            <w:vAlign w:val="center"/>
          </w:tcPr>
          <w:p w14:paraId="22C28617">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安徽援疆资金</w:t>
            </w:r>
          </w:p>
        </w:tc>
        <w:tc>
          <w:tcPr>
            <w:tcW w:w="961" w:type="dxa"/>
            <w:tcBorders>
              <w:top w:val="nil"/>
              <w:left w:val="nil"/>
              <w:bottom w:val="single" w:color="auto" w:sz="4" w:space="0"/>
              <w:right w:val="single" w:color="auto" w:sz="4" w:space="0"/>
            </w:tcBorders>
            <w:vAlign w:val="center"/>
          </w:tcPr>
          <w:p w14:paraId="6E60E080">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133.6</w:t>
            </w:r>
          </w:p>
        </w:tc>
      </w:tr>
      <w:tr w14:paraId="689FDD63">
        <w:tblPrEx>
          <w:tblCellMar>
            <w:top w:w="0" w:type="dxa"/>
            <w:left w:w="108" w:type="dxa"/>
            <w:bottom w:w="0" w:type="dxa"/>
            <w:right w:w="108" w:type="dxa"/>
          </w:tblCellMar>
        </w:tblPrEx>
        <w:trPr>
          <w:trHeight w:val="317" w:hRule="atLeast"/>
        </w:trPr>
        <w:tc>
          <w:tcPr>
            <w:tcW w:w="427" w:type="dxa"/>
            <w:tcBorders>
              <w:top w:val="nil"/>
              <w:left w:val="single" w:color="auto" w:sz="4" w:space="0"/>
              <w:bottom w:val="single" w:color="auto" w:sz="4" w:space="0"/>
              <w:right w:val="single" w:color="auto" w:sz="4" w:space="0"/>
            </w:tcBorders>
            <w:noWrap/>
            <w:vAlign w:val="center"/>
          </w:tcPr>
          <w:p w14:paraId="6A299D56">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29</w:t>
            </w:r>
          </w:p>
        </w:tc>
        <w:tc>
          <w:tcPr>
            <w:tcW w:w="961" w:type="dxa"/>
            <w:tcBorders>
              <w:top w:val="nil"/>
              <w:left w:val="nil"/>
              <w:bottom w:val="single" w:color="auto" w:sz="4" w:space="0"/>
              <w:right w:val="single" w:color="auto" w:sz="4" w:space="0"/>
            </w:tcBorders>
            <w:vAlign w:val="center"/>
          </w:tcPr>
          <w:p w14:paraId="4DE2FD3E">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2024年</w:t>
            </w:r>
          </w:p>
        </w:tc>
        <w:tc>
          <w:tcPr>
            <w:tcW w:w="4947" w:type="dxa"/>
            <w:tcBorders>
              <w:top w:val="nil"/>
              <w:left w:val="nil"/>
              <w:bottom w:val="single" w:color="auto" w:sz="4" w:space="0"/>
              <w:right w:val="single" w:color="auto" w:sz="4" w:space="0"/>
            </w:tcBorders>
            <w:vAlign w:val="center"/>
          </w:tcPr>
          <w:p w14:paraId="65292A91">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皮山县2024年国营牧场产业发展项目</w:t>
            </w:r>
          </w:p>
        </w:tc>
        <w:tc>
          <w:tcPr>
            <w:tcW w:w="1650" w:type="dxa"/>
            <w:tcBorders>
              <w:top w:val="nil"/>
              <w:left w:val="nil"/>
              <w:bottom w:val="single" w:color="auto" w:sz="4" w:space="0"/>
              <w:right w:val="single" w:color="auto" w:sz="4" w:space="0"/>
            </w:tcBorders>
            <w:vAlign w:val="center"/>
          </w:tcPr>
          <w:p w14:paraId="3FAADD54">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vAlign w:val="center"/>
          </w:tcPr>
          <w:p w14:paraId="6F50C7EA">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114</w:t>
            </w:r>
          </w:p>
        </w:tc>
      </w:tr>
      <w:tr w14:paraId="781B4993">
        <w:tblPrEx>
          <w:tblCellMar>
            <w:top w:w="0" w:type="dxa"/>
            <w:left w:w="108" w:type="dxa"/>
            <w:bottom w:w="0" w:type="dxa"/>
            <w:right w:w="108" w:type="dxa"/>
          </w:tblCellMar>
        </w:tblPrEx>
        <w:trPr>
          <w:trHeight w:val="295" w:hRule="atLeast"/>
        </w:trPr>
        <w:tc>
          <w:tcPr>
            <w:tcW w:w="427" w:type="dxa"/>
            <w:tcBorders>
              <w:top w:val="nil"/>
              <w:left w:val="single" w:color="auto" w:sz="4" w:space="0"/>
              <w:bottom w:val="single" w:color="auto" w:sz="4" w:space="0"/>
              <w:right w:val="single" w:color="auto" w:sz="4" w:space="0"/>
            </w:tcBorders>
            <w:noWrap/>
            <w:vAlign w:val="center"/>
          </w:tcPr>
          <w:p w14:paraId="0CA0A1ED">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30</w:t>
            </w:r>
          </w:p>
        </w:tc>
        <w:tc>
          <w:tcPr>
            <w:tcW w:w="961" w:type="dxa"/>
            <w:tcBorders>
              <w:top w:val="nil"/>
              <w:left w:val="nil"/>
              <w:bottom w:val="single" w:color="auto" w:sz="4" w:space="0"/>
              <w:right w:val="single" w:color="auto" w:sz="4" w:space="0"/>
            </w:tcBorders>
            <w:vAlign w:val="center"/>
          </w:tcPr>
          <w:p w14:paraId="1F7317CC">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2024年</w:t>
            </w:r>
          </w:p>
        </w:tc>
        <w:tc>
          <w:tcPr>
            <w:tcW w:w="4947" w:type="dxa"/>
            <w:tcBorders>
              <w:top w:val="nil"/>
              <w:left w:val="nil"/>
              <w:bottom w:val="single" w:color="auto" w:sz="4" w:space="0"/>
              <w:right w:val="single" w:color="auto" w:sz="4" w:space="0"/>
            </w:tcBorders>
            <w:vAlign w:val="center"/>
          </w:tcPr>
          <w:p w14:paraId="38F08183">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皮山县2024年产业补短板提升改造建设项目</w:t>
            </w:r>
          </w:p>
        </w:tc>
        <w:tc>
          <w:tcPr>
            <w:tcW w:w="1650" w:type="dxa"/>
            <w:tcBorders>
              <w:top w:val="nil"/>
              <w:left w:val="nil"/>
              <w:bottom w:val="single" w:color="auto" w:sz="4" w:space="0"/>
              <w:right w:val="single" w:color="auto" w:sz="4" w:space="0"/>
            </w:tcBorders>
            <w:vAlign w:val="center"/>
          </w:tcPr>
          <w:p w14:paraId="1FD4B6DD">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vAlign w:val="center"/>
          </w:tcPr>
          <w:p w14:paraId="26291430">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826</w:t>
            </w:r>
          </w:p>
        </w:tc>
      </w:tr>
      <w:tr w14:paraId="4C7E3FF7">
        <w:tblPrEx>
          <w:tblCellMar>
            <w:top w:w="0" w:type="dxa"/>
            <w:left w:w="108" w:type="dxa"/>
            <w:bottom w:w="0" w:type="dxa"/>
            <w:right w:w="108" w:type="dxa"/>
          </w:tblCellMar>
        </w:tblPrEx>
        <w:trPr>
          <w:trHeight w:val="140" w:hRule="atLeast"/>
        </w:trPr>
        <w:tc>
          <w:tcPr>
            <w:tcW w:w="427" w:type="dxa"/>
            <w:tcBorders>
              <w:top w:val="nil"/>
              <w:left w:val="single" w:color="auto" w:sz="4" w:space="0"/>
              <w:bottom w:val="single" w:color="auto" w:sz="4" w:space="0"/>
              <w:right w:val="single" w:color="auto" w:sz="4" w:space="0"/>
            </w:tcBorders>
            <w:noWrap/>
            <w:vAlign w:val="center"/>
          </w:tcPr>
          <w:p w14:paraId="3468A662">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31</w:t>
            </w:r>
          </w:p>
        </w:tc>
        <w:tc>
          <w:tcPr>
            <w:tcW w:w="961" w:type="dxa"/>
            <w:tcBorders>
              <w:top w:val="nil"/>
              <w:left w:val="nil"/>
              <w:bottom w:val="single" w:color="auto" w:sz="4" w:space="0"/>
              <w:right w:val="single" w:color="auto" w:sz="4" w:space="0"/>
            </w:tcBorders>
            <w:vAlign w:val="center"/>
          </w:tcPr>
          <w:p w14:paraId="04C15A9E">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2024年</w:t>
            </w:r>
          </w:p>
        </w:tc>
        <w:tc>
          <w:tcPr>
            <w:tcW w:w="4947" w:type="dxa"/>
            <w:tcBorders>
              <w:top w:val="nil"/>
              <w:left w:val="nil"/>
              <w:bottom w:val="single" w:color="auto" w:sz="4" w:space="0"/>
              <w:right w:val="single" w:color="auto" w:sz="4" w:space="0"/>
            </w:tcBorders>
            <w:vAlign w:val="center"/>
          </w:tcPr>
          <w:p w14:paraId="58CF254F">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皮山县食用菌产业园区供水配套建设项目</w:t>
            </w:r>
          </w:p>
        </w:tc>
        <w:tc>
          <w:tcPr>
            <w:tcW w:w="1650" w:type="dxa"/>
            <w:tcBorders>
              <w:top w:val="nil"/>
              <w:left w:val="nil"/>
              <w:bottom w:val="single" w:color="auto" w:sz="4" w:space="0"/>
              <w:right w:val="single" w:color="auto" w:sz="4" w:space="0"/>
            </w:tcBorders>
            <w:vAlign w:val="center"/>
          </w:tcPr>
          <w:p w14:paraId="679F7376">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vAlign w:val="center"/>
          </w:tcPr>
          <w:p w14:paraId="3E16DB04">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200</w:t>
            </w:r>
          </w:p>
        </w:tc>
      </w:tr>
      <w:tr w14:paraId="55496309">
        <w:tblPrEx>
          <w:tblCellMar>
            <w:top w:w="0" w:type="dxa"/>
            <w:left w:w="108" w:type="dxa"/>
            <w:bottom w:w="0" w:type="dxa"/>
            <w:right w:w="108" w:type="dxa"/>
          </w:tblCellMar>
        </w:tblPrEx>
        <w:trPr>
          <w:trHeight w:val="140" w:hRule="atLeast"/>
        </w:trPr>
        <w:tc>
          <w:tcPr>
            <w:tcW w:w="427" w:type="dxa"/>
            <w:tcBorders>
              <w:top w:val="nil"/>
              <w:left w:val="single" w:color="auto" w:sz="4" w:space="0"/>
              <w:bottom w:val="single" w:color="auto" w:sz="4" w:space="0"/>
              <w:right w:val="single" w:color="auto" w:sz="4" w:space="0"/>
            </w:tcBorders>
            <w:noWrap/>
            <w:vAlign w:val="center"/>
          </w:tcPr>
          <w:p w14:paraId="05F64A37">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32</w:t>
            </w:r>
          </w:p>
        </w:tc>
        <w:tc>
          <w:tcPr>
            <w:tcW w:w="961" w:type="dxa"/>
            <w:tcBorders>
              <w:top w:val="nil"/>
              <w:left w:val="nil"/>
              <w:bottom w:val="single" w:color="auto" w:sz="4" w:space="0"/>
              <w:right w:val="single" w:color="auto" w:sz="4" w:space="0"/>
            </w:tcBorders>
            <w:vAlign w:val="center"/>
          </w:tcPr>
          <w:p w14:paraId="4AB98751">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2024年</w:t>
            </w:r>
          </w:p>
        </w:tc>
        <w:tc>
          <w:tcPr>
            <w:tcW w:w="4947" w:type="dxa"/>
            <w:tcBorders>
              <w:top w:val="nil"/>
              <w:left w:val="nil"/>
              <w:bottom w:val="single" w:color="auto" w:sz="4" w:space="0"/>
              <w:right w:val="single" w:color="auto" w:sz="4" w:space="0"/>
            </w:tcBorders>
            <w:vAlign w:val="center"/>
          </w:tcPr>
          <w:p w14:paraId="404B4BB2">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2024年皮山县乡村振兴提升补助项目—特色养殖补助项目</w:t>
            </w:r>
          </w:p>
        </w:tc>
        <w:tc>
          <w:tcPr>
            <w:tcW w:w="1650" w:type="dxa"/>
            <w:tcBorders>
              <w:top w:val="nil"/>
              <w:left w:val="nil"/>
              <w:bottom w:val="single" w:color="auto" w:sz="4" w:space="0"/>
              <w:right w:val="single" w:color="auto" w:sz="4" w:space="0"/>
            </w:tcBorders>
            <w:vAlign w:val="center"/>
          </w:tcPr>
          <w:p w14:paraId="2FAD0DD7">
            <w:pPr>
              <w:widowControl/>
              <w:jc w:val="center"/>
              <w:rPr>
                <w:rFonts w:ascii="宋体" w:hAnsi="宋体" w:eastAsia="宋体" w:cs="宋体"/>
                <w:kern w:val="0"/>
                <w:sz w:val="18"/>
                <w:szCs w:val="18"/>
              </w:rPr>
            </w:pPr>
            <w:r>
              <w:rPr>
                <w:rFonts w:hint="eastAsia" w:ascii="宋体" w:hAnsi="宋体" w:eastAsia="宋体" w:cs="宋体"/>
                <w:kern w:val="0"/>
                <w:sz w:val="18"/>
                <w:szCs w:val="18"/>
              </w:rPr>
              <w:t>援疆资金</w:t>
            </w:r>
          </w:p>
        </w:tc>
        <w:tc>
          <w:tcPr>
            <w:tcW w:w="961" w:type="dxa"/>
            <w:tcBorders>
              <w:top w:val="nil"/>
              <w:left w:val="nil"/>
              <w:bottom w:val="single" w:color="auto" w:sz="4" w:space="0"/>
              <w:right w:val="single" w:color="auto" w:sz="4" w:space="0"/>
            </w:tcBorders>
            <w:vAlign w:val="center"/>
          </w:tcPr>
          <w:p w14:paraId="75922627">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1070</w:t>
            </w:r>
          </w:p>
        </w:tc>
      </w:tr>
      <w:tr w14:paraId="767EA78E">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vAlign w:val="center"/>
          </w:tcPr>
          <w:p w14:paraId="103B04A0">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33</w:t>
            </w:r>
          </w:p>
        </w:tc>
        <w:tc>
          <w:tcPr>
            <w:tcW w:w="961" w:type="dxa"/>
            <w:tcBorders>
              <w:top w:val="nil"/>
              <w:left w:val="nil"/>
              <w:bottom w:val="single" w:color="auto" w:sz="4" w:space="0"/>
              <w:right w:val="single" w:color="auto" w:sz="4" w:space="0"/>
            </w:tcBorders>
            <w:vAlign w:val="center"/>
          </w:tcPr>
          <w:p w14:paraId="02026BF8">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2024年</w:t>
            </w:r>
          </w:p>
        </w:tc>
        <w:tc>
          <w:tcPr>
            <w:tcW w:w="4947" w:type="dxa"/>
            <w:tcBorders>
              <w:top w:val="nil"/>
              <w:left w:val="nil"/>
              <w:bottom w:val="single" w:color="auto" w:sz="4" w:space="0"/>
              <w:right w:val="single" w:color="auto" w:sz="4" w:space="0"/>
            </w:tcBorders>
            <w:vAlign w:val="center"/>
          </w:tcPr>
          <w:p w14:paraId="4D54C7BA">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皮山县农业设施补短板建设项目</w:t>
            </w:r>
          </w:p>
        </w:tc>
        <w:tc>
          <w:tcPr>
            <w:tcW w:w="1650" w:type="dxa"/>
            <w:tcBorders>
              <w:top w:val="nil"/>
              <w:left w:val="nil"/>
              <w:bottom w:val="single" w:color="auto" w:sz="4" w:space="0"/>
              <w:right w:val="single" w:color="auto" w:sz="4" w:space="0"/>
            </w:tcBorders>
            <w:vAlign w:val="center"/>
          </w:tcPr>
          <w:p w14:paraId="5447E705">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三峡援疆资金</w:t>
            </w:r>
          </w:p>
        </w:tc>
        <w:tc>
          <w:tcPr>
            <w:tcW w:w="961" w:type="dxa"/>
            <w:tcBorders>
              <w:top w:val="nil"/>
              <w:left w:val="nil"/>
              <w:bottom w:val="single" w:color="auto" w:sz="4" w:space="0"/>
              <w:right w:val="single" w:color="auto" w:sz="4" w:space="0"/>
            </w:tcBorders>
            <w:vAlign w:val="center"/>
          </w:tcPr>
          <w:p w14:paraId="13B47C7F">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650</w:t>
            </w:r>
          </w:p>
        </w:tc>
      </w:tr>
      <w:tr w14:paraId="73066282">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vAlign w:val="center"/>
          </w:tcPr>
          <w:p w14:paraId="6A13812C">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34</w:t>
            </w:r>
          </w:p>
        </w:tc>
        <w:tc>
          <w:tcPr>
            <w:tcW w:w="961" w:type="dxa"/>
            <w:tcBorders>
              <w:top w:val="nil"/>
              <w:left w:val="nil"/>
              <w:bottom w:val="single" w:color="auto" w:sz="4" w:space="0"/>
              <w:right w:val="single" w:color="auto" w:sz="4" w:space="0"/>
            </w:tcBorders>
            <w:vAlign w:val="center"/>
          </w:tcPr>
          <w:p w14:paraId="2D0C4E7C">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2024年</w:t>
            </w:r>
          </w:p>
        </w:tc>
        <w:tc>
          <w:tcPr>
            <w:tcW w:w="4947" w:type="dxa"/>
            <w:tcBorders>
              <w:top w:val="nil"/>
              <w:left w:val="nil"/>
              <w:bottom w:val="single" w:color="auto" w:sz="4" w:space="0"/>
              <w:right w:val="single" w:color="auto" w:sz="4" w:space="0"/>
            </w:tcBorders>
            <w:vAlign w:val="center"/>
          </w:tcPr>
          <w:p w14:paraId="5381E435">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皮山县温室大棚高效数字化改造提升工程</w:t>
            </w:r>
          </w:p>
        </w:tc>
        <w:tc>
          <w:tcPr>
            <w:tcW w:w="1650" w:type="dxa"/>
            <w:tcBorders>
              <w:top w:val="nil"/>
              <w:left w:val="nil"/>
              <w:bottom w:val="single" w:color="auto" w:sz="4" w:space="0"/>
              <w:right w:val="single" w:color="auto" w:sz="4" w:space="0"/>
            </w:tcBorders>
            <w:vAlign w:val="center"/>
          </w:tcPr>
          <w:p w14:paraId="6A1D0839">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三峡援疆资金</w:t>
            </w:r>
          </w:p>
        </w:tc>
        <w:tc>
          <w:tcPr>
            <w:tcW w:w="961" w:type="dxa"/>
            <w:tcBorders>
              <w:top w:val="nil"/>
              <w:left w:val="nil"/>
              <w:bottom w:val="single" w:color="auto" w:sz="4" w:space="0"/>
              <w:right w:val="single" w:color="auto" w:sz="4" w:space="0"/>
            </w:tcBorders>
            <w:vAlign w:val="center"/>
          </w:tcPr>
          <w:p w14:paraId="74AF64D8">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750</w:t>
            </w:r>
          </w:p>
        </w:tc>
      </w:tr>
      <w:tr w14:paraId="3E742131">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tcPr>
          <w:p w14:paraId="7D9785A3">
            <w:pPr>
              <w:widowControl/>
              <w:jc w:val="center"/>
              <w:rPr>
                <w:rFonts w:ascii="宋体" w:hAnsi="宋体" w:eastAsia="宋体" w:cs="宋体"/>
                <w:bCs/>
                <w:kern w:val="0"/>
                <w:sz w:val="18"/>
                <w:szCs w:val="18"/>
              </w:rPr>
            </w:pPr>
            <w:r>
              <w:rPr>
                <w:rFonts w:ascii="宋体" w:hAnsi="宋体" w:eastAsia="宋体" w:cs="宋体"/>
                <w:bCs/>
                <w:kern w:val="0"/>
                <w:sz w:val="18"/>
                <w:szCs w:val="18"/>
              </w:rPr>
              <w:t>35</w:t>
            </w:r>
          </w:p>
        </w:tc>
        <w:tc>
          <w:tcPr>
            <w:tcW w:w="961" w:type="dxa"/>
            <w:tcBorders>
              <w:top w:val="nil"/>
              <w:left w:val="nil"/>
              <w:bottom w:val="single" w:color="auto" w:sz="4" w:space="0"/>
              <w:right w:val="single" w:color="auto" w:sz="4" w:space="0"/>
            </w:tcBorders>
          </w:tcPr>
          <w:p w14:paraId="058F53B4">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4947" w:type="dxa"/>
            <w:tcBorders>
              <w:top w:val="nil"/>
              <w:left w:val="nil"/>
              <w:bottom w:val="single" w:color="auto" w:sz="4" w:space="0"/>
              <w:right w:val="single" w:color="auto" w:sz="4" w:space="0"/>
            </w:tcBorders>
            <w:vAlign w:val="center"/>
          </w:tcPr>
          <w:p w14:paraId="1E8F3E93">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皮山县各乡镇畜牧兽医社会化服务网点建设项目</w:t>
            </w:r>
          </w:p>
        </w:tc>
        <w:tc>
          <w:tcPr>
            <w:tcW w:w="1650" w:type="dxa"/>
            <w:tcBorders>
              <w:top w:val="nil"/>
              <w:left w:val="nil"/>
              <w:bottom w:val="single" w:color="auto" w:sz="4" w:space="0"/>
              <w:right w:val="single" w:color="auto" w:sz="4" w:space="0"/>
            </w:tcBorders>
            <w:vAlign w:val="center"/>
          </w:tcPr>
          <w:p w14:paraId="51F9A852">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中央衔接资金</w:t>
            </w:r>
          </w:p>
        </w:tc>
        <w:tc>
          <w:tcPr>
            <w:tcW w:w="961" w:type="dxa"/>
            <w:tcBorders>
              <w:top w:val="nil"/>
              <w:left w:val="nil"/>
              <w:bottom w:val="single" w:color="auto" w:sz="4" w:space="0"/>
              <w:right w:val="single" w:color="auto" w:sz="4" w:space="0"/>
            </w:tcBorders>
          </w:tcPr>
          <w:p w14:paraId="0BAFD86E">
            <w:pPr>
              <w:widowControl/>
              <w:jc w:val="center"/>
              <w:rPr>
                <w:rFonts w:ascii="宋体" w:hAnsi="宋体" w:eastAsia="宋体" w:cs="宋体"/>
                <w:bCs/>
                <w:kern w:val="0"/>
                <w:sz w:val="18"/>
                <w:szCs w:val="18"/>
              </w:rPr>
            </w:pPr>
            <w:r>
              <w:rPr>
                <w:rFonts w:ascii="宋体" w:hAnsi="宋体" w:eastAsia="宋体" w:cs="宋体"/>
                <w:bCs/>
                <w:kern w:val="0"/>
                <w:sz w:val="18"/>
                <w:szCs w:val="18"/>
              </w:rPr>
              <w:t>735.75</w:t>
            </w:r>
          </w:p>
        </w:tc>
      </w:tr>
      <w:tr w14:paraId="0F8BDBDB">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tcPr>
          <w:p w14:paraId="2BA6EE9B">
            <w:pPr>
              <w:widowControl/>
              <w:jc w:val="center"/>
              <w:rPr>
                <w:rFonts w:ascii="宋体" w:hAnsi="宋体" w:eastAsia="宋体" w:cs="宋体"/>
                <w:bCs/>
                <w:kern w:val="0"/>
                <w:sz w:val="18"/>
                <w:szCs w:val="18"/>
              </w:rPr>
            </w:pPr>
            <w:r>
              <w:rPr>
                <w:rFonts w:ascii="宋体" w:hAnsi="宋体" w:eastAsia="宋体" w:cs="宋体"/>
                <w:bCs/>
                <w:kern w:val="0"/>
                <w:sz w:val="18"/>
                <w:szCs w:val="18"/>
              </w:rPr>
              <w:t>36</w:t>
            </w:r>
          </w:p>
        </w:tc>
        <w:tc>
          <w:tcPr>
            <w:tcW w:w="961" w:type="dxa"/>
            <w:tcBorders>
              <w:top w:val="nil"/>
              <w:left w:val="nil"/>
              <w:bottom w:val="single" w:color="auto" w:sz="4" w:space="0"/>
              <w:right w:val="single" w:color="auto" w:sz="4" w:space="0"/>
            </w:tcBorders>
          </w:tcPr>
          <w:p w14:paraId="60EED5E3">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4947" w:type="dxa"/>
            <w:tcBorders>
              <w:top w:val="nil"/>
              <w:left w:val="nil"/>
              <w:bottom w:val="single" w:color="auto" w:sz="4" w:space="0"/>
              <w:right w:val="single" w:color="auto" w:sz="4" w:space="0"/>
            </w:tcBorders>
            <w:vAlign w:val="center"/>
          </w:tcPr>
          <w:p w14:paraId="5E7E1D7F">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皮山县2025年推动产业帮扶精准到户促进农民持续增收项目（含畜牧养殖）</w:t>
            </w:r>
          </w:p>
        </w:tc>
        <w:tc>
          <w:tcPr>
            <w:tcW w:w="1650" w:type="dxa"/>
            <w:tcBorders>
              <w:top w:val="nil"/>
              <w:left w:val="nil"/>
              <w:bottom w:val="single" w:color="auto" w:sz="4" w:space="0"/>
              <w:right w:val="single" w:color="auto" w:sz="4" w:space="0"/>
            </w:tcBorders>
            <w:vAlign w:val="center"/>
          </w:tcPr>
          <w:p w14:paraId="259CBF23">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中央衔接资金</w:t>
            </w:r>
          </w:p>
        </w:tc>
        <w:tc>
          <w:tcPr>
            <w:tcW w:w="961" w:type="dxa"/>
            <w:tcBorders>
              <w:top w:val="nil"/>
              <w:left w:val="nil"/>
              <w:bottom w:val="single" w:color="auto" w:sz="4" w:space="0"/>
              <w:right w:val="single" w:color="auto" w:sz="4" w:space="0"/>
            </w:tcBorders>
          </w:tcPr>
          <w:p w14:paraId="758B1241">
            <w:pPr>
              <w:widowControl/>
              <w:jc w:val="center"/>
              <w:rPr>
                <w:rFonts w:ascii="宋体" w:hAnsi="宋体" w:eastAsia="宋体" w:cs="宋体"/>
                <w:bCs/>
                <w:kern w:val="0"/>
                <w:sz w:val="18"/>
                <w:szCs w:val="18"/>
              </w:rPr>
            </w:pPr>
            <w:r>
              <w:rPr>
                <w:rFonts w:ascii="宋体" w:hAnsi="宋体" w:eastAsia="宋体" w:cs="宋体"/>
                <w:bCs/>
                <w:kern w:val="0"/>
                <w:sz w:val="18"/>
                <w:szCs w:val="18"/>
              </w:rPr>
              <w:t>14063</w:t>
            </w:r>
          </w:p>
        </w:tc>
      </w:tr>
      <w:tr w14:paraId="373FC4DA">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tcPr>
          <w:p w14:paraId="14EFD6BF">
            <w:pPr>
              <w:widowControl/>
              <w:jc w:val="center"/>
              <w:rPr>
                <w:rFonts w:ascii="宋体" w:hAnsi="宋体" w:eastAsia="宋体" w:cs="宋体"/>
                <w:bCs/>
                <w:kern w:val="0"/>
                <w:sz w:val="18"/>
                <w:szCs w:val="18"/>
              </w:rPr>
            </w:pPr>
            <w:r>
              <w:rPr>
                <w:rFonts w:ascii="宋体" w:hAnsi="宋体" w:eastAsia="宋体" w:cs="宋体"/>
                <w:bCs/>
                <w:kern w:val="0"/>
                <w:sz w:val="18"/>
                <w:szCs w:val="18"/>
              </w:rPr>
              <w:t>37</w:t>
            </w:r>
          </w:p>
        </w:tc>
        <w:tc>
          <w:tcPr>
            <w:tcW w:w="961" w:type="dxa"/>
            <w:tcBorders>
              <w:top w:val="nil"/>
              <w:left w:val="nil"/>
              <w:bottom w:val="single" w:color="auto" w:sz="4" w:space="0"/>
              <w:right w:val="single" w:color="auto" w:sz="4" w:space="0"/>
            </w:tcBorders>
          </w:tcPr>
          <w:p w14:paraId="105A4EDF">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4947" w:type="dxa"/>
            <w:tcBorders>
              <w:top w:val="nil"/>
              <w:left w:val="nil"/>
              <w:bottom w:val="single" w:color="auto" w:sz="4" w:space="0"/>
              <w:right w:val="single" w:color="auto" w:sz="4" w:space="0"/>
            </w:tcBorders>
            <w:vAlign w:val="center"/>
          </w:tcPr>
          <w:p w14:paraId="5283DE4B">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皮山县2025年小额贷款贴息项目（含畜牧养殖贷款）</w:t>
            </w:r>
          </w:p>
        </w:tc>
        <w:tc>
          <w:tcPr>
            <w:tcW w:w="1650" w:type="dxa"/>
            <w:tcBorders>
              <w:top w:val="nil"/>
              <w:left w:val="nil"/>
              <w:bottom w:val="single" w:color="auto" w:sz="4" w:space="0"/>
              <w:right w:val="single" w:color="auto" w:sz="4" w:space="0"/>
            </w:tcBorders>
            <w:vAlign w:val="center"/>
          </w:tcPr>
          <w:p w14:paraId="0CA648E2">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中央衔接资金</w:t>
            </w:r>
          </w:p>
        </w:tc>
        <w:tc>
          <w:tcPr>
            <w:tcW w:w="961" w:type="dxa"/>
            <w:tcBorders>
              <w:top w:val="nil"/>
              <w:left w:val="nil"/>
              <w:bottom w:val="single" w:color="auto" w:sz="4" w:space="0"/>
              <w:right w:val="single" w:color="auto" w:sz="4" w:space="0"/>
            </w:tcBorders>
          </w:tcPr>
          <w:p w14:paraId="5AEEC8D4">
            <w:pPr>
              <w:widowControl/>
              <w:jc w:val="center"/>
              <w:rPr>
                <w:rFonts w:ascii="宋体" w:hAnsi="宋体" w:eastAsia="宋体" w:cs="宋体"/>
                <w:bCs/>
                <w:kern w:val="0"/>
                <w:sz w:val="18"/>
                <w:szCs w:val="18"/>
              </w:rPr>
            </w:pPr>
            <w:r>
              <w:rPr>
                <w:rFonts w:ascii="宋体" w:hAnsi="宋体" w:eastAsia="宋体" w:cs="宋体"/>
                <w:bCs/>
                <w:kern w:val="0"/>
                <w:sz w:val="18"/>
                <w:szCs w:val="18"/>
              </w:rPr>
              <w:t>2700</w:t>
            </w:r>
          </w:p>
        </w:tc>
      </w:tr>
      <w:tr w14:paraId="226138E8">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tcPr>
          <w:p w14:paraId="5BC97051">
            <w:pPr>
              <w:widowControl/>
              <w:jc w:val="center"/>
              <w:rPr>
                <w:rFonts w:ascii="宋体" w:hAnsi="宋体" w:eastAsia="宋体" w:cs="宋体"/>
                <w:bCs/>
                <w:kern w:val="0"/>
                <w:sz w:val="18"/>
                <w:szCs w:val="18"/>
              </w:rPr>
            </w:pPr>
            <w:r>
              <w:rPr>
                <w:rFonts w:ascii="宋体" w:hAnsi="宋体" w:eastAsia="宋体" w:cs="宋体"/>
                <w:bCs/>
                <w:kern w:val="0"/>
                <w:sz w:val="18"/>
                <w:szCs w:val="18"/>
              </w:rPr>
              <w:t>38</w:t>
            </w:r>
          </w:p>
        </w:tc>
        <w:tc>
          <w:tcPr>
            <w:tcW w:w="961" w:type="dxa"/>
            <w:tcBorders>
              <w:top w:val="nil"/>
              <w:left w:val="nil"/>
              <w:bottom w:val="single" w:color="auto" w:sz="4" w:space="0"/>
              <w:right w:val="single" w:color="auto" w:sz="4" w:space="0"/>
            </w:tcBorders>
          </w:tcPr>
          <w:p w14:paraId="5AAF690A">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4947" w:type="dxa"/>
            <w:tcBorders>
              <w:top w:val="nil"/>
              <w:left w:val="nil"/>
              <w:bottom w:val="single" w:color="auto" w:sz="4" w:space="0"/>
              <w:right w:val="single" w:color="auto" w:sz="4" w:space="0"/>
            </w:tcBorders>
            <w:vAlign w:val="center"/>
          </w:tcPr>
          <w:p w14:paraId="781CCE0B">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皮山县2025年国营牧场产业发展项目（乔达乡巴什拉克村，采购生产母羊630只）</w:t>
            </w:r>
          </w:p>
        </w:tc>
        <w:tc>
          <w:tcPr>
            <w:tcW w:w="1650" w:type="dxa"/>
            <w:tcBorders>
              <w:top w:val="nil"/>
              <w:left w:val="nil"/>
              <w:bottom w:val="single" w:color="auto" w:sz="4" w:space="0"/>
              <w:right w:val="single" w:color="auto" w:sz="4" w:space="0"/>
            </w:tcBorders>
            <w:vAlign w:val="center"/>
          </w:tcPr>
          <w:p w14:paraId="5AF851C9">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欠发达国营牧场资金</w:t>
            </w:r>
          </w:p>
        </w:tc>
        <w:tc>
          <w:tcPr>
            <w:tcW w:w="961" w:type="dxa"/>
            <w:tcBorders>
              <w:top w:val="nil"/>
              <w:left w:val="nil"/>
              <w:bottom w:val="single" w:color="auto" w:sz="4" w:space="0"/>
              <w:right w:val="single" w:color="auto" w:sz="4" w:space="0"/>
            </w:tcBorders>
          </w:tcPr>
          <w:p w14:paraId="3BB2D4C7">
            <w:pPr>
              <w:widowControl/>
              <w:jc w:val="center"/>
              <w:rPr>
                <w:rFonts w:ascii="宋体" w:hAnsi="宋体" w:eastAsia="宋体" w:cs="宋体"/>
                <w:bCs/>
                <w:kern w:val="0"/>
                <w:sz w:val="18"/>
                <w:szCs w:val="18"/>
              </w:rPr>
            </w:pPr>
            <w:r>
              <w:rPr>
                <w:rFonts w:ascii="宋体" w:hAnsi="宋体" w:eastAsia="宋体" w:cs="宋体"/>
                <w:bCs/>
                <w:kern w:val="0"/>
                <w:sz w:val="18"/>
                <w:szCs w:val="18"/>
              </w:rPr>
              <w:t>92</w:t>
            </w:r>
          </w:p>
        </w:tc>
      </w:tr>
      <w:tr w14:paraId="3977CA15">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tcPr>
          <w:p w14:paraId="4D7683E5">
            <w:pPr>
              <w:widowControl/>
              <w:jc w:val="center"/>
              <w:rPr>
                <w:rFonts w:ascii="宋体" w:hAnsi="宋体" w:eastAsia="宋体" w:cs="宋体"/>
                <w:bCs/>
                <w:kern w:val="0"/>
                <w:sz w:val="18"/>
                <w:szCs w:val="18"/>
              </w:rPr>
            </w:pPr>
            <w:r>
              <w:rPr>
                <w:rFonts w:ascii="宋体" w:hAnsi="宋体" w:eastAsia="宋体" w:cs="宋体"/>
                <w:bCs/>
                <w:kern w:val="0"/>
                <w:sz w:val="18"/>
                <w:szCs w:val="18"/>
              </w:rPr>
              <w:t>39</w:t>
            </w:r>
          </w:p>
        </w:tc>
        <w:tc>
          <w:tcPr>
            <w:tcW w:w="961" w:type="dxa"/>
            <w:tcBorders>
              <w:top w:val="nil"/>
              <w:left w:val="nil"/>
              <w:bottom w:val="single" w:color="auto" w:sz="4" w:space="0"/>
              <w:right w:val="single" w:color="auto" w:sz="4" w:space="0"/>
            </w:tcBorders>
          </w:tcPr>
          <w:p w14:paraId="631A7DFE">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4947" w:type="dxa"/>
            <w:tcBorders>
              <w:top w:val="nil"/>
              <w:left w:val="nil"/>
              <w:bottom w:val="single" w:color="auto" w:sz="4" w:space="0"/>
              <w:right w:val="single" w:color="auto" w:sz="4" w:space="0"/>
            </w:tcBorders>
            <w:vAlign w:val="center"/>
          </w:tcPr>
          <w:p w14:paraId="162F32DB">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皮山县乡村振兴发展壮大村集体经济建设项目（藏桂乡冷库，服务畜牧产品储存）</w:t>
            </w:r>
          </w:p>
        </w:tc>
        <w:tc>
          <w:tcPr>
            <w:tcW w:w="1650" w:type="dxa"/>
            <w:tcBorders>
              <w:top w:val="nil"/>
              <w:left w:val="nil"/>
              <w:bottom w:val="single" w:color="auto" w:sz="4" w:space="0"/>
              <w:right w:val="single" w:color="auto" w:sz="4" w:space="0"/>
            </w:tcBorders>
            <w:vAlign w:val="center"/>
          </w:tcPr>
          <w:p w14:paraId="65155C86">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tcPr>
          <w:p w14:paraId="33431EA3">
            <w:pPr>
              <w:widowControl/>
              <w:jc w:val="center"/>
              <w:rPr>
                <w:rFonts w:ascii="宋体" w:hAnsi="宋体" w:eastAsia="宋体" w:cs="宋体"/>
                <w:bCs/>
                <w:kern w:val="0"/>
                <w:sz w:val="18"/>
                <w:szCs w:val="18"/>
              </w:rPr>
            </w:pPr>
            <w:r>
              <w:rPr>
                <w:rFonts w:ascii="宋体" w:hAnsi="宋体" w:eastAsia="宋体" w:cs="宋体"/>
                <w:bCs/>
                <w:kern w:val="0"/>
                <w:sz w:val="18"/>
                <w:szCs w:val="18"/>
              </w:rPr>
              <w:t>2200</w:t>
            </w:r>
          </w:p>
        </w:tc>
      </w:tr>
      <w:tr w14:paraId="691BCE29">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tcPr>
          <w:p w14:paraId="78F2F20A">
            <w:pPr>
              <w:widowControl/>
              <w:jc w:val="center"/>
              <w:rPr>
                <w:rFonts w:ascii="宋体" w:hAnsi="宋体" w:eastAsia="宋体" w:cs="宋体"/>
                <w:bCs/>
                <w:kern w:val="0"/>
                <w:sz w:val="18"/>
                <w:szCs w:val="18"/>
              </w:rPr>
            </w:pPr>
            <w:r>
              <w:rPr>
                <w:rFonts w:ascii="宋体" w:hAnsi="宋体" w:eastAsia="宋体" w:cs="宋体"/>
                <w:bCs/>
                <w:kern w:val="0"/>
                <w:sz w:val="18"/>
                <w:szCs w:val="18"/>
              </w:rPr>
              <w:t>40</w:t>
            </w:r>
          </w:p>
        </w:tc>
        <w:tc>
          <w:tcPr>
            <w:tcW w:w="961" w:type="dxa"/>
            <w:tcBorders>
              <w:top w:val="nil"/>
              <w:left w:val="nil"/>
              <w:bottom w:val="single" w:color="auto" w:sz="4" w:space="0"/>
              <w:right w:val="single" w:color="auto" w:sz="4" w:space="0"/>
            </w:tcBorders>
          </w:tcPr>
          <w:p w14:paraId="035B5876">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4947" w:type="dxa"/>
            <w:tcBorders>
              <w:top w:val="nil"/>
              <w:left w:val="nil"/>
              <w:bottom w:val="single" w:color="auto" w:sz="4" w:space="0"/>
              <w:right w:val="single" w:color="auto" w:sz="4" w:space="0"/>
            </w:tcBorders>
            <w:vAlign w:val="center"/>
          </w:tcPr>
          <w:p w14:paraId="3C533CD4">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皮山县木奎拉乡至固玛镇2025年沙产业基础设施配套项目（含饲草料基地）</w:t>
            </w:r>
          </w:p>
        </w:tc>
        <w:tc>
          <w:tcPr>
            <w:tcW w:w="1650" w:type="dxa"/>
            <w:tcBorders>
              <w:top w:val="nil"/>
              <w:left w:val="nil"/>
              <w:bottom w:val="single" w:color="auto" w:sz="4" w:space="0"/>
              <w:right w:val="single" w:color="auto" w:sz="4" w:space="0"/>
            </w:tcBorders>
            <w:vAlign w:val="center"/>
          </w:tcPr>
          <w:p w14:paraId="77DB94D0">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tcPr>
          <w:p w14:paraId="54E516C3">
            <w:pPr>
              <w:widowControl/>
              <w:jc w:val="center"/>
              <w:rPr>
                <w:rFonts w:ascii="宋体" w:hAnsi="宋体" w:eastAsia="宋体" w:cs="宋体"/>
                <w:bCs/>
                <w:kern w:val="0"/>
                <w:sz w:val="18"/>
                <w:szCs w:val="18"/>
              </w:rPr>
            </w:pPr>
            <w:r>
              <w:rPr>
                <w:rFonts w:ascii="宋体" w:hAnsi="宋体" w:eastAsia="宋体" w:cs="宋体"/>
                <w:bCs/>
                <w:kern w:val="0"/>
                <w:sz w:val="18"/>
                <w:szCs w:val="18"/>
              </w:rPr>
              <w:t>1450</w:t>
            </w:r>
          </w:p>
        </w:tc>
      </w:tr>
      <w:tr w14:paraId="7ED6AC4C">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tcPr>
          <w:p w14:paraId="3DED9998">
            <w:pPr>
              <w:widowControl/>
              <w:jc w:val="center"/>
              <w:rPr>
                <w:rFonts w:ascii="宋体" w:hAnsi="宋体" w:eastAsia="宋体" w:cs="宋体"/>
                <w:bCs/>
                <w:kern w:val="0"/>
                <w:sz w:val="18"/>
                <w:szCs w:val="18"/>
              </w:rPr>
            </w:pPr>
            <w:r>
              <w:rPr>
                <w:rFonts w:ascii="宋体" w:hAnsi="宋体" w:eastAsia="宋体" w:cs="宋体"/>
                <w:bCs/>
                <w:kern w:val="0"/>
                <w:sz w:val="18"/>
                <w:szCs w:val="18"/>
              </w:rPr>
              <w:t>41</w:t>
            </w:r>
          </w:p>
        </w:tc>
        <w:tc>
          <w:tcPr>
            <w:tcW w:w="961" w:type="dxa"/>
            <w:tcBorders>
              <w:top w:val="nil"/>
              <w:left w:val="nil"/>
              <w:bottom w:val="single" w:color="auto" w:sz="4" w:space="0"/>
              <w:right w:val="single" w:color="auto" w:sz="4" w:space="0"/>
            </w:tcBorders>
          </w:tcPr>
          <w:p w14:paraId="267C7444">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4947" w:type="dxa"/>
            <w:tcBorders>
              <w:top w:val="nil"/>
              <w:left w:val="nil"/>
              <w:bottom w:val="single" w:color="auto" w:sz="4" w:space="0"/>
              <w:right w:val="single" w:color="auto" w:sz="4" w:space="0"/>
            </w:tcBorders>
            <w:vAlign w:val="center"/>
          </w:tcPr>
          <w:p w14:paraId="3CD41234">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皮山县木奎拉乡智慧农业建设项目（含畜牧饲草料种植）</w:t>
            </w:r>
          </w:p>
        </w:tc>
        <w:tc>
          <w:tcPr>
            <w:tcW w:w="1650" w:type="dxa"/>
            <w:tcBorders>
              <w:top w:val="nil"/>
              <w:left w:val="nil"/>
              <w:bottom w:val="single" w:color="auto" w:sz="4" w:space="0"/>
              <w:right w:val="single" w:color="auto" w:sz="4" w:space="0"/>
            </w:tcBorders>
            <w:vAlign w:val="center"/>
          </w:tcPr>
          <w:p w14:paraId="09440D9D">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61" w:type="dxa"/>
            <w:tcBorders>
              <w:top w:val="nil"/>
              <w:left w:val="nil"/>
              <w:bottom w:val="single" w:color="auto" w:sz="4" w:space="0"/>
              <w:right w:val="single" w:color="auto" w:sz="4" w:space="0"/>
            </w:tcBorders>
          </w:tcPr>
          <w:p w14:paraId="52DE2DBF">
            <w:pPr>
              <w:widowControl/>
              <w:jc w:val="center"/>
              <w:rPr>
                <w:rFonts w:ascii="宋体" w:hAnsi="宋体" w:eastAsia="宋体" w:cs="宋体"/>
                <w:bCs/>
                <w:kern w:val="0"/>
                <w:sz w:val="18"/>
                <w:szCs w:val="18"/>
              </w:rPr>
            </w:pPr>
            <w:r>
              <w:rPr>
                <w:rFonts w:ascii="宋体" w:hAnsi="宋体" w:eastAsia="宋体" w:cs="宋体"/>
                <w:bCs/>
                <w:kern w:val="0"/>
                <w:sz w:val="18"/>
                <w:szCs w:val="18"/>
              </w:rPr>
              <w:t>350</w:t>
            </w:r>
          </w:p>
        </w:tc>
      </w:tr>
      <w:tr w14:paraId="0ED31875">
        <w:tblPrEx>
          <w:tblCellMar>
            <w:top w:w="0" w:type="dxa"/>
            <w:left w:w="108" w:type="dxa"/>
            <w:bottom w:w="0" w:type="dxa"/>
            <w:right w:w="108" w:type="dxa"/>
          </w:tblCellMar>
        </w:tblPrEx>
        <w:trPr>
          <w:trHeight w:val="58" w:hRule="atLeast"/>
        </w:trPr>
        <w:tc>
          <w:tcPr>
            <w:tcW w:w="427" w:type="dxa"/>
            <w:tcBorders>
              <w:top w:val="nil"/>
              <w:left w:val="single" w:color="auto" w:sz="4" w:space="0"/>
              <w:bottom w:val="single" w:color="auto" w:sz="4" w:space="0"/>
              <w:right w:val="single" w:color="auto" w:sz="4" w:space="0"/>
            </w:tcBorders>
            <w:noWrap/>
          </w:tcPr>
          <w:p w14:paraId="5BE93A48">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4</w:t>
            </w:r>
            <w:r>
              <w:rPr>
                <w:rFonts w:ascii="宋体" w:hAnsi="宋体" w:eastAsia="宋体" w:cs="宋体"/>
                <w:bCs/>
                <w:kern w:val="0"/>
                <w:sz w:val="18"/>
                <w:szCs w:val="18"/>
              </w:rPr>
              <w:t>2</w:t>
            </w:r>
          </w:p>
        </w:tc>
        <w:tc>
          <w:tcPr>
            <w:tcW w:w="961" w:type="dxa"/>
            <w:tcBorders>
              <w:top w:val="nil"/>
              <w:left w:val="nil"/>
              <w:bottom w:val="single" w:color="auto" w:sz="4" w:space="0"/>
              <w:right w:val="single" w:color="auto" w:sz="4" w:space="0"/>
            </w:tcBorders>
          </w:tcPr>
          <w:p w14:paraId="6368A50E">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2025年</w:t>
            </w:r>
          </w:p>
        </w:tc>
        <w:tc>
          <w:tcPr>
            <w:tcW w:w="4947" w:type="dxa"/>
            <w:tcBorders>
              <w:top w:val="nil"/>
              <w:left w:val="nil"/>
              <w:bottom w:val="single" w:color="auto" w:sz="4" w:space="0"/>
              <w:right w:val="single" w:color="auto" w:sz="4" w:space="0"/>
            </w:tcBorders>
          </w:tcPr>
          <w:p w14:paraId="77351EDF">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皮山县2025年产业提升补短板配套建设项目</w:t>
            </w:r>
          </w:p>
        </w:tc>
        <w:tc>
          <w:tcPr>
            <w:tcW w:w="1650" w:type="dxa"/>
            <w:tcBorders>
              <w:top w:val="nil"/>
              <w:left w:val="nil"/>
              <w:bottom w:val="single" w:color="auto" w:sz="4" w:space="0"/>
              <w:right w:val="single" w:color="auto" w:sz="4" w:space="0"/>
            </w:tcBorders>
          </w:tcPr>
          <w:p w14:paraId="02937EE8">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专项债券资金、其他资金</w:t>
            </w:r>
          </w:p>
        </w:tc>
        <w:tc>
          <w:tcPr>
            <w:tcW w:w="961" w:type="dxa"/>
            <w:tcBorders>
              <w:top w:val="nil"/>
              <w:left w:val="nil"/>
              <w:bottom w:val="single" w:color="auto" w:sz="4" w:space="0"/>
              <w:right w:val="single" w:color="auto" w:sz="4" w:space="0"/>
            </w:tcBorders>
          </w:tcPr>
          <w:p w14:paraId="2F875558">
            <w:pPr>
              <w:widowControl/>
              <w:jc w:val="center"/>
              <w:rPr>
                <w:rFonts w:ascii="宋体" w:hAnsi="宋体" w:eastAsia="宋体" w:cs="宋体"/>
                <w:bCs/>
                <w:kern w:val="0"/>
                <w:sz w:val="18"/>
                <w:szCs w:val="18"/>
              </w:rPr>
            </w:pPr>
            <w:r>
              <w:rPr>
                <w:rFonts w:ascii="宋体" w:hAnsi="宋体" w:eastAsia="宋体" w:cs="宋体"/>
                <w:bCs/>
                <w:kern w:val="0"/>
                <w:sz w:val="18"/>
                <w:szCs w:val="18"/>
              </w:rPr>
              <w:t>1250</w:t>
            </w:r>
          </w:p>
        </w:tc>
      </w:tr>
    </w:tbl>
    <w:p w14:paraId="7B4F0F87">
      <w:pPr>
        <w:pStyle w:val="4"/>
        <w:keepLines w:val="0"/>
        <w:topLinePunct/>
        <w:spacing w:before="0" w:after="0" w:line="540" w:lineRule="exact"/>
        <w:ind w:firstLine="632" w:firstLineChars="210"/>
        <w:rPr>
          <w:rFonts w:eastAsia="宋体"/>
          <w:sz w:val="30"/>
          <w:szCs w:val="30"/>
        </w:rPr>
      </w:pPr>
      <w:bookmarkStart w:id="10" w:name="_Toc237987570"/>
      <w:r>
        <w:rPr>
          <w:rFonts w:hint="eastAsia" w:eastAsia="宋体"/>
          <w:sz w:val="30"/>
          <w:szCs w:val="30"/>
        </w:rPr>
        <w:t>（四）产业融合与创新模式</w:t>
      </w:r>
      <w:bookmarkEnd w:id="10"/>
    </w:p>
    <w:p w14:paraId="7D45AF46">
      <w:pPr>
        <w:spacing w:line="580" w:lineRule="exact"/>
        <w:ind w:firstLine="562" w:firstLineChars="200"/>
        <w:rPr>
          <w:b/>
          <w:sz w:val="28"/>
        </w:rPr>
      </w:pPr>
      <w:r>
        <w:rPr>
          <w:rFonts w:hint="eastAsia"/>
          <w:b/>
          <w:sz w:val="28"/>
        </w:rPr>
        <w:t>1、套种技术增效</w:t>
      </w:r>
    </w:p>
    <w:p w14:paraId="1C8955A9">
      <w:pPr>
        <w:spacing w:line="580" w:lineRule="exact"/>
        <w:ind w:firstLine="560" w:firstLineChars="200"/>
        <w:rPr>
          <w:sz w:val="28"/>
        </w:rPr>
      </w:pPr>
      <w:r>
        <w:rPr>
          <w:rFonts w:hint="eastAsia"/>
          <w:sz w:val="28"/>
        </w:rPr>
        <w:t>木奎拉乡推广“套种玉米”模式，充分利用光热资源，减少土壤蒸发，实现亩产收益翻升。</w:t>
      </w:r>
    </w:p>
    <w:p w14:paraId="0E5405D1">
      <w:pPr>
        <w:spacing w:line="580" w:lineRule="exact"/>
        <w:ind w:firstLine="562" w:firstLineChars="200"/>
        <w:rPr>
          <w:b/>
          <w:sz w:val="28"/>
        </w:rPr>
      </w:pPr>
      <w:r>
        <w:rPr>
          <w:rFonts w:hint="eastAsia"/>
          <w:b/>
          <w:sz w:val="28"/>
        </w:rPr>
        <w:t>2、饲草料种植与资源循环</w:t>
      </w:r>
    </w:p>
    <w:p w14:paraId="7C4FE839">
      <w:pPr>
        <w:spacing w:line="580" w:lineRule="exact"/>
        <w:ind w:firstLine="560" w:firstLineChars="200"/>
        <w:rPr>
          <w:sz w:val="28"/>
        </w:rPr>
      </w:pPr>
      <w:r>
        <w:rPr>
          <w:rFonts w:hint="eastAsia"/>
          <w:sz w:val="28"/>
        </w:rPr>
        <w:t>建设饲草料基地，包括土地平整，灌溉设施，道路，渠道建设等。主要分布在皮西那乡、木奎拉乡、巴什兰干乡、皮亚勒玛乡、藏桂乡；饲草料基地附属配套设施建设；玉米秸秆回收28万亩，经打包加工成优质饲料，实现秸秆资源化利用，解决冬季饲草短缺问题，降低养殖成本。</w:t>
      </w:r>
    </w:p>
    <w:p w14:paraId="402B11D5">
      <w:pPr>
        <w:spacing w:line="580" w:lineRule="exact"/>
        <w:jc w:val="center"/>
        <w:rPr>
          <w:b/>
          <w:sz w:val="28"/>
        </w:rPr>
      </w:pPr>
      <w:r>
        <w:rPr>
          <w:rFonts w:hint="eastAsia"/>
          <w:b/>
          <w:sz w:val="28"/>
        </w:rPr>
        <w:t>表1-5 “十四五”期间完成饲草料基地建设项目统计表</w:t>
      </w:r>
    </w:p>
    <w:tbl>
      <w:tblPr>
        <w:tblStyle w:val="25"/>
        <w:tblW w:w="8946" w:type="dxa"/>
        <w:tblInd w:w="0" w:type="dxa"/>
        <w:tblLayout w:type="fixed"/>
        <w:tblCellMar>
          <w:top w:w="0" w:type="dxa"/>
          <w:left w:w="108" w:type="dxa"/>
          <w:bottom w:w="0" w:type="dxa"/>
          <w:right w:w="108" w:type="dxa"/>
        </w:tblCellMar>
      </w:tblPr>
      <w:tblGrid>
        <w:gridCol w:w="563"/>
        <w:gridCol w:w="962"/>
        <w:gridCol w:w="4672"/>
        <w:gridCol w:w="1650"/>
        <w:gridCol w:w="1099"/>
      </w:tblGrid>
      <w:tr w14:paraId="2EFD953D">
        <w:tblPrEx>
          <w:tblCellMar>
            <w:top w:w="0" w:type="dxa"/>
            <w:left w:w="108" w:type="dxa"/>
            <w:bottom w:w="0" w:type="dxa"/>
            <w:right w:w="108" w:type="dxa"/>
          </w:tblCellMar>
        </w:tblPrEx>
        <w:trPr>
          <w:trHeight w:val="546" w:hRule="atLeast"/>
        </w:trPr>
        <w:tc>
          <w:tcPr>
            <w:tcW w:w="563" w:type="dxa"/>
            <w:tcBorders>
              <w:top w:val="single" w:color="auto" w:sz="4" w:space="0"/>
              <w:left w:val="single" w:color="auto" w:sz="4" w:space="0"/>
              <w:bottom w:val="single" w:color="auto" w:sz="4" w:space="0"/>
              <w:right w:val="single" w:color="auto" w:sz="4" w:space="0"/>
            </w:tcBorders>
            <w:vAlign w:val="center"/>
          </w:tcPr>
          <w:p w14:paraId="6E20F001">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962" w:type="dxa"/>
            <w:tcBorders>
              <w:top w:val="single" w:color="auto" w:sz="4" w:space="0"/>
              <w:left w:val="nil"/>
              <w:bottom w:val="single" w:color="auto" w:sz="4" w:space="0"/>
              <w:right w:val="single" w:color="auto" w:sz="4" w:space="0"/>
            </w:tcBorders>
            <w:vAlign w:val="center"/>
          </w:tcPr>
          <w:p w14:paraId="32BD6418">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年度</w:t>
            </w:r>
          </w:p>
        </w:tc>
        <w:tc>
          <w:tcPr>
            <w:tcW w:w="4672" w:type="dxa"/>
            <w:tcBorders>
              <w:top w:val="single" w:color="auto" w:sz="4" w:space="0"/>
              <w:left w:val="nil"/>
              <w:bottom w:val="single" w:color="auto" w:sz="4" w:space="0"/>
              <w:right w:val="single" w:color="auto" w:sz="4" w:space="0"/>
            </w:tcBorders>
            <w:vAlign w:val="center"/>
          </w:tcPr>
          <w:p w14:paraId="2C5AFA86">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项目名称</w:t>
            </w:r>
          </w:p>
        </w:tc>
        <w:tc>
          <w:tcPr>
            <w:tcW w:w="1650" w:type="dxa"/>
            <w:tcBorders>
              <w:top w:val="single" w:color="auto" w:sz="4" w:space="0"/>
              <w:left w:val="nil"/>
              <w:bottom w:val="single" w:color="auto" w:sz="4" w:space="0"/>
              <w:right w:val="single" w:color="auto" w:sz="4" w:space="0"/>
            </w:tcBorders>
            <w:vAlign w:val="center"/>
          </w:tcPr>
          <w:p w14:paraId="0B24C5EB">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资金来源</w:t>
            </w:r>
          </w:p>
        </w:tc>
        <w:tc>
          <w:tcPr>
            <w:tcW w:w="1099" w:type="dxa"/>
            <w:tcBorders>
              <w:top w:val="single" w:color="auto" w:sz="4" w:space="0"/>
              <w:left w:val="nil"/>
              <w:bottom w:val="single" w:color="auto" w:sz="4" w:space="0"/>
              <w:right w:val="single" w:color="auto" w:sz="4" w:space="0"/>
            </w:tcBorders>
            <w:vAlign w:val="center"/>
          </w:tcPr>
          <w:p w14:paraId="5C5A55E1">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总投资</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（万元）</w:t>
            </w:r>
          </w:p>
        </w:tc>
      </w:tr>
      <w:tr w14:paraId="1D282323">
        <w:tblPrEx>
          <w:tblCellMar>
            <w:top w:w="0" w:type="dxa"/>
            <w:left w:w="108" w:type="dxa"/>
            <w:bottom w:w="0" w:type="dxa"/>
            <w:right w:w="108" w:type="dxa"/>
          </w:tblCellMar>
        </w:tblPrEx>
        <w:trPr>
          <w:trHeight w:val="416" w:hRule="atLeast"/>
        </w:trPr>
        <w:tc>
          <w:tcPr>
            <w:tcW w:w="6197" w:type="dxa"/>
            <w:gridSpan w:val="3"/>
            <w:tcBorders>
              <w:top w:val="single" w:color="auto" w:sz="4" w:space="0"/>
              <w:left w:val="single" w:color="auto" w:sz="4" w:space="0"/>
              <w:bottom w:val="single" w:color="auto" w:sz="4" w:space="0"/>
              <w:right w:val="single" w:color="auto" w:sz="4" w:space="0"/>
            </w:tcBorders>
            <w:vAlign w:val="center"/>
          </w:tcPr>
          <w:p w14:paraId="0D32F230">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合计：</w:t>
            </w:r>
            <w:r>
              <w:rPr>
                <w:rFonts w:ascii="宋体" w:hAnsi="宋体" w:eastAsia="宋体" w:cs="宋体"/>
                <w:b/>
                <w:bCs/>
                <w:kern w:val="0"/>
                <w:sz w:val="18"/>
                <w:szCs w:val="18"/>
              </w:rPr>
              <w:t>9</w:t>
            </w:r>
            <w:r>
              <w:rPr>
                <w:rFonts w:hint="eastAsia" w:ascii="宋体" w:hAnsi="宋体" w:eastAsia="宋体" w:cs="宋体"/>
                <w:b/>
                <w:bCs/>
                <w:kern w:val="0"/>
                <w:sz w:val="18"/>
                <w:szCs w:val="18"/>
              </w:rPr>
              <w:t>个项目</w:t>
            </w:r>
          </w:p>
        </w:tc>
        <w:tc>
          <w:tcPr>
            <w:tcW w:w="2749" w:type="dxa"/>
            <w:gridSpan w:val="2"/>
            <w:tcBorders>
              <w:top w:val="single" w:color="auto" w:sz="4" w:space="0"/>
              <w:left w:val="nil"/>
              <w:bottom w:val="single" w:color="auto" w:sz="4" w:space="0"/>
              <w:right w:val="single" w:color="auto" w:sz="4" w:space="0"/>
            </w:tcBorders>
            <w:vAlign w:val="center"/>
          </w:tcPr>
          <w:p w14:paraId="3E340C00">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合计：</w:t>
            </w:r>
            <w:r>
              <w:rPr>
                <w:rFonts w:ascii="宋体" w:hAnsi="宋体" w:eastAsia="宋体" w:cs="宋体"/>
                <w:b/>
                <w:bCs/>
                <w:kern w:val="0"/>
                <w:sz w:val="18"/>
                <w:szCs w:val="18"/>
              </w:rPr>
              <w:t>24128.5</w:t>
            </w:r>
          </w:p>
        </w:tc>
      </w:tr>
      <w:tr w14:paraId="53BC433D">
        <w:tblPrEx>
          <w:tblCellMar>
            <w:top w:w="0" w:type="dxa"/>
            <w:left w:w="108" w:type="dxa"/>
            <w:bottom w:w="0" w:type="dxa"/>
            <w:right w:w="108" w:type="dxa"/>
          </w:tblCellMar>
        </w:tblPrEx>
        <w:trPr>
          <w:trHeight w:val="295" w:hRule="atLeast"/>
        </w:trPr>
        <w:tc>
          <w:tcPr>
            <w:tcW w:w="563" w:type="dxa"/>
            <w:tcBorders>
              <w:top w:val="nil"/>
              <w:left w:val="single" w:color="auto" w:sz="4" w:space="0"/>
              <w:bottom w:val="single" w:color="auto" w:sz="4" w:space="0"/>
              <w:right w:val="single" w:color="auto" w:sz="4" w:space="0"/>
            </w:tcBorders>
            <w:noWrap/>
            <w:vAlign w:val="center"/>
          </w:tcPr>
          <w:p w14:paraId="3474F748">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1</w:t>
            </w:r>
          </w:p>
        </w:tc>
        <w:tc>
          <w:tcPr>
            <w:tcW w:w="962" w:type="dxa"/>
            <w:tcBorders>
              <w:top w:val="nil"/>
              <w:left w:val="nil"/>
              <w:bottom w:val="single" w:color="auto" w:sz="4" w:space="0"/>
              <w:right w:val="single" w:color="auto" w:sz="4" w:space="0"/>
            </w:tcBorders>
            <w:vAlign w:val="center"/>
          </w:tcPr>
          <w:p w14:paraId="2FD92FAF">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2021年</w:t>
            </w:r>
          </w:p>
        </w:tc>
        <w:tc>
          <w:tcPr>
            <w:tcW w:w="4672" w:type="dxa"/>
            <w:tcBorders>
              <w:top w:val="nil"/>
              <w:left w:val="nil"/>
              <w:bottom w:val="single" w:color="auto" w:sz="4" w:space="0"/>
              <w:right w:val="single" w:color="auto" w:sz="4" w:space="0"/>
            </w:tcBorders>
            <w:vAlign w:val="center"/>
          </w:tcPr>
          <w:p w14:paraId="356030EE">
            <w:pPr>
              <w:widowControl/>
              <w:jc w:val="center"/>
              <w:rPr>
                <w:rFonts w:ascii="宋体" w:hAnsi="宋体" w:eastAsia="宋体" w:cs="宋体"/>
                <w:kern w:val="0"/>
                <w:sz w:val="18"/>
                <w:szCs w:val="18"/>
              </w:rPr>
            </w:pPr>
            <w:r>
              <w:rPr>
                <w:rFonts w:hint="eastAsia" w:ascii="宋体" w:hAnsi="宋体" w:eastAsia="宋体" w:cs="宋体"/>
                <w:kern w:val="0"/>
                <w:sz w:val="18"/>
                <w:szCs w:val="18"/>
              </w:rPr>
              <w:t>皮山县饲草料基地建设项目</w:t>
            </w:r>
          </w:p>
        </w:tc>
        <w:tc>
          <w:tcPr>
            <w:tcW w:w="1650" w:type="dxa"/>
            <w:tcBorders>
              <w:top w:val="nil"/>
              <w:left w:val="nil"/>
              <w:bottom w:val="single" w:color="auto" w:sz="4" w:space="0"/>
              <w:right w:val="single" w:color="auto" w:sz="4" w:space="0"/>
            </w:tcBorders>
            <w:vAlign w:val="center"/>
          </w:tcPr>
          <w:p w14:paraId="2178E69D">
            <w:pPr>
              <w:widowControl/>
              <w:jc w:val="center"/>
              <w:rPr>
                <w:rFonts w:ascii="宋体" w:hAnsi="宋体" w:eastAsia="宋体" w:cs="宋体"/>
                <w:kern w:val="0"/>
                <w:sz w:val="18"/>
                <w:szCs w:val="18"/>
              </w:rPr>
            </w:pPr>
            <w:r>
              <w:rPr>
                <w:rFonts w:hint="eastAsia" w:ascii="宋体" w:hAnsi="宋体" w:eastAsia="宋体" w:cs="宋体"/>
                <w:kern w:val="0"/>
                <w:sz w:val="18"/>
                <w:szCs w:val="18"/>
              </w:rPr>
              <w:t>第一批扶贫资金</w:t>
            </w:r>
          </w:p>
        </w:tc>
        <w:tc>
          <w:tcPr>
            <w:tcW w:w="1099" w:type="dxa"/>
            <w:tcBorders>
              <w:top w:val="nil"/>
              <w:left w:val="nil"/>
              <w:bottom w:val="single" w:color="auto" w:sz="4" w:space="0"/>
              <w:right w:val="single" w:color="auto" w:sz="4" w:space="0"/>
            </w:tcBorders>
            <w:vAlign w:val="center"/>
          </w:tcPr>
          <w:p w14:paraId="3E09D9F1">
            <w:pPr>
              <w:widowControl/>
              <w:jc w:val="center"/>
              <w:rPr>
                <w:rFonts w:ascii="宋体" w:hAnsi="宋体" w:eastAsia="宋体" w:cs="宋体"/>
                <w:kern w:val="0"/>
                <w:sz w:val="18"/>
                <w:szCs w:val="18"/>
              </w:rPr>
            </w:pPr>
            <w:r>
              <w:rPr>
                <w:rFonts w:hint="eastAsia" w:ascii="宋体" w:hAnsi="宋体" w:eastAsia="宋体" w:cs="宋体"/>
                <w:kern w:val="0"/>
                <w:sz w:val="18"/>
                <w:szCs w:val="18"/>
              </w:rPr>
              <w:t>2550</w:t>
            </w:r>
          </w:p>
        </w:tc>
      </w:tr>
      <w:tr w14:paraId="122F103D">
        <w:tblPrEx>
          <w:tblCellMar>
            <w:top w:w="0" w:type="dxa"/>
            <w:left w:w="108" w:type="dxa"/>
            <w:bottom w:w="0" w:type="dxa"/>
            <w:right w:w="108" w:type="dxa"/>
          </w:tblCellMar>
        </w:tblPrEx>
        <w:trPr>
          <w:trHeight w:val="557" w:hRule="atLeast"/>
        </w:trPr>
        <w:tc>
          <w:tcPr>
            <w:tcW w:w="563" w:type="dxa"/>
            <w:tcBorders>
              <w:top w:val="nil"/>
              <w:left w:val="single" w:color="auto" w:sz="4" w:space="0"/>
              <w:bottom w:val="single" w:color="auto" w:sz="4" w:space="0"/>
              <w:right w:val="single" w:color="auto" w:sz="4" w:space="0"/>
            </w:tcBorders>
            <w:noWrap/>
            <w:vAlign w:val="center"/>
          </w:tcPr>
          <w:p w14:paraId="04576358">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w:t>
            </w:r>
          </w:p>
        </w:tc>
        <w:tc>
          <w:tcPr>
            <w:tcW w:w="962" w:type="dxa"/>
            <w:tcBorders>
              <w:top w:val="nil"/>
              <w:left w:val="nil"/>
              <w:bottom w:val="single" w:color="auto" w:sz="4" w:space="0"/>
              <w:right w:val="single" w:color="auto" w:sz="4" w:space="0"/>
            </w:tcBorders>
            <w:vAlign w:val="center"/>
          </w:tcPr>
          <w:p w14:paraId="6FCAFD8C">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2022年</w:t>
            </w:r>
          </w:p>
        </w:tc>
        <w:tc>
          <w:tcPr>
            <w:tcW w:w="4672" w:type="dxa"/>
            <w:tcBorders>
              <w:top w:val="nil"/>
              <w:left w:val="nil"/>
              <w:bottom w:val="single" w:color="auto" w:sz="4" w:space="0"/>
              <w:right w:val="single" w:color="auto" w:sz="4" w:space="0"/>
            </w:tcBorders>
            <w:vAlign w:val="center"/>
          </w:tcPr>
          <w:p w14:paraId="3EB035D0">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皮山县乔达乡养殖区、饲草料基地附属配套设施建设项目</w:t>
            </w:r>
          </w:p>
        </w:tc>
        <w:tc>
          <w:tcPr>
            <w:tcW w:w="1650" w:type="dxa"/>
            <w:tcBorders>
              <w:top w:val="nil"/>
              <w:left w:val="nil"/>
              <w:bottom w:val="single" w:color="auto" w:sz="4" w:space="0"/>
              <w:right w:val="single" w:color="auto" w:sz="4" w:space="0"/>
            </w:tcBorders>
            <w:vAlign w:val="center"/>
          </w:tcPr>
          <w:p w14:paraId="14B1C112">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9" w:type="dxa"/>
            <w:tcBorders>
              <w:top w:val="nil"/>
              <w:left w:val="nil"/>
              <w:bottom w:val="single" w:color="auto" w:sz="4" w:space="0"/>
              <w:right w:val="single" w:color="auto" w:sz="4" w:space="0"/>
            </w:tcBorders>
            <w:vAlign w:val="center"/>
          </w:tcPr>
          <w:p w14:paraId="219C36CA">
            <w:pPr>
              <w:widowControl/>
              <w:jc w:val="center"/>
              <w:rPr>
                <w:rFonts w:ascii="宋体" w:hAnsi="宋体" w:eastAsia="宋体" w:cs="宋体"/>
                <w:kern w:val="0"/>
                <w:sz w:val="18"/>
                <w:szCs w:val="18"/>
              </w:rPr>
            </w:pPr>
            <w:r>
              <w:rPr>
                <w:rFonts w:hint="eastAsia" w:ascii="宋体" w:hAnsi="宋体" w:eastAsia="宋体" w:cs="宋体"/>
                <w:kern w:val="0"/>
                <w:sz w:val="18"/>
                <w:szCs w:val="18"/>
              </w:rPr>
              <w:t>900</w:t>
            </w:r>
          </w:p>
        </w:tc>
      </w:tr>
      <w:tr w14:paraId="7A9692E8">
        <w:tblPrEx>
          <w:tblCellMar>
            <w:top w:w="0" w:type="dxa"/>
            <w:left w:w="108" w:type="dxa"/>
            <w:bottom w:w="0" w:type="dxa"/>
            <w:right w:w="108" w:type="dxa"/>
          </w:tblCellMar>
        </w:tblPrEx>
        <w:trPr>
          <w:trHeight w:val="58" w:hRule="atLeast"/>
        </w:trPr>
        <w:tc>
          <w:tcPr>
            <w:tcW w:w="563" w:type="dxa"/>
            <w:tcBorders>
              <w:top w:val="nil"/>
              <w:left w:val="single" w:color="auto" w:sz="4" w:space="0"/>
              <w:bottom w:val="single" w:color="auto" w:sz="4" w:space="0"/>
              <w:right w:val="single" w:color="auto" w:sz="4" w:space="0"/>
            </w:tcBorders>
            <w:noWrap/>
            <w:vAlign w:val="center"/>
          </w:tcPr>
          <w:p w14:paraId="1D344699">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3</w:t>
            </w:r>
          </w:p>
        </w:tc>
        <w:tc>
          <w:tcPr>
            <w:tcW w:w="962" w:type="dxa"/>
            <w:tcBorders>
              <w:top w:val="nil"/>
              <w:left w:val="nil"/>
              <w:bottom w:val="single" w:color="auto" w:sz="4" w:space="0"/>
              <w:right w:val="single" w:color="auto" w:sz="4" w:space="0"/>
            </w:tcBorders>
            <w:vAlign w:val="center"/>
          </w:tcPr>
          <w:p w14:paraId="59C8106D">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2022年</w:t>
            </w:r>
          </w:p>
        </w:tc>
        <w:tc>
          <w:tcPr>
            <w:tcW w:w="4672" w:type="dxa"/>
            <w:tcBorders>
              <w:top w:val="nil"/>
              <w:left w:val="nil"/>
              <w:bottom w:val="single" w:color="auto" w:sz="4" w:space="0"/>
              <w:right w:val="single" w:color="auto" w:sz="4" w:space="0"/>
            </w:tcBorders>
            <w:vAlign w:val="center"/>
          </w:tcPr>
          <w:p w14:paraId="7EB6A078">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皮山县藏桂乡、科克铁热克镇、木奎拉乡饲草料基地建设项目</w:t>
            </w:r>
          </w:p>
        </w:tc>
        <w:tc>
          <w:tcPr>
            <w:tcW w:w="1650" w:type="dxa"/>
            <w:tcBorders>
              <w:top w:val="nil"/>
              <w:left w:val="nil"/>
              <w:bottom w:val="single" w:color="auto" w:sz="4" w:space="0"/>
              <w:right w:val="single" w:color="auto" w:sz="4" w:space="0"/>
            </w:tcBorders>
            <w:vAlign w:val="center"/>
          </w:tcPr>
          <w:p w14:paraId="7B2EEEE6">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9" w:type="dxa"/>
            <w:tcBorders>
              <w:top w:val="nil"/>
              <w:left w:val="nil"/>
              <w:bottom w:val="single" w:color="auto" w:sz="4" w:space="0"/>
              <w:right w:val="single" w:color="auto" w:sz="4" w:space="0"/>
            </w:tcBorders>
            <w:vAlign w:val="center"/>
          </w:tcPr>
          <w:p w14:paraId="3D062A7D">
            <w:pPr>
              <w:widowControl/>
              <w:jc w:val="center"/>
              <w:rPr>
                <w:rFonts w:ascii="宋体" w:hAnsi="宋体" w:eastAsia="宋体" w:cs="宋体"/>
                <w:kern w:val="0"/>
                <w:sz w:val="18"/>
                <w:szCs w:val="18"/>
              </w:rPr>
            </w:pPr>
            <w:r>
              <w:rPr>
                <w:rFonts w:hint="eastAsia" w:ascii="宋体" w:hAnsi="宋体" w:eastAsia="宋体" w:cs="宋体"/>
                <w:kern w:val="0"/>
                <w:sz w:val="18"/>
                <w:szCs w:val="18"/>
              </w:rPr>
              <w:t>2814.23</w:t>
            </w:r>
          </w:p>
        </w:tc>
      </w:tr>
      <w:tr w14:paraId="53823547">
        <w:tblPrEx>
          <w:tblCellMar>
            <w:top w:w="0" w:type="dxa"/>
            <w:left w:w="108" w:type="dxa"/>
            <w:bottom w:w="0" w:type="dxa"/>
            <w:right w:w="108" w:type="dxa"/>
          </w:tblCellMar>
        </w:tblPrEx>
        <w:trPr>
          <w:trHeight w:val="58" w:hRule="atLeast"/>
        </w:trPr>
        <w:tc>
          <w:tcPr>
            <w:tcW w:w="563" w:type="dxa"/>
            <w:tcBorders>
              <w:top w:val="nil"/>
              <w:left w:val="single" w:color="auto" w:sz="4" w:space="0"/>
              <w:bottom w:val="single" w:color="auto" w:sz="4" w:space="0"/>
              <w:right w:val="single" w:color="auto" w:sz="4" w:space="0"/>
            </w:tcBorders>
            <w:noWrap/>
            <w:vAlign w:val="center"/>
          </w:tcPr>
          <w:p w14:paraId="604F00E9">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4</w:t>
            </w:r>
          </w:p>
        </w:tc>
        <w:tc>
          <w:tcPr>
            <w:tcW w:w="962" w:type="dxa"/>
            <w:tcBorders>
              <w:top w:val="nil"/>
              <w:left w:val="nil"/>
              <w:bottom w:val="single" w:color="auto" w:sz="4" w:space="0"/>
              <w:right w:val="single" w:color="auto" w:sz="4" w:space="0"/>
            </w:tcBorders>
            <w:vAlign w:val="center"/>
          </w:tcPr>
          <w:p w14:paraId="40F4F476">
            <w:pPr>
              <w:widowControl/>
              <w:jc w:val="center"/>
              <w:rPr>
                <w:rFonts w:ascii="宋体" w:hAnsi="宋体" w:eastAsia="宋体" w:cs="宋体"/>
                <w:bCs/>
                <w:kern w:val="0"/>
                <w:sz w:val="18"/>
                <w:szCs w:val="18"/>
              </w:rPr>
            </w:pPr>
            <w:r>
              <w:rPr>
                <w:rFonts w:hint="eastAsia" w:ascii="宋体" w:hAnsi="宋体" w:eastAsia="宋体" w:cs="宋体"/>
                <w:bCs/>
                <w:kern w:val="0"/>
                <w:sz w:val="18"/>
                <w:szCs w:val="18"/>
              </w:rPr>
              <w:t>2023年</w:t>
            </w:r>
          </w:p>
        </w:tc>
        <w:tc>
          <w:tcPr>
            <w:tcW w:w="4672" w:type="dxa"/>
            <w:tcBorders>
              <w:top w:val="nil"/>
              <w:left w:val="nil"/>
              <w:bottom w:val="single" w:color="auto" w:sz="4" w:space="0"/>
              <w:right w:val="single" w:color="auto" w:sz="4" w:space="0"/>
            </w:tcBorders>
            <w:vAlign w:val="center"/>
          </w:tcPr>
          <w:p w14:paraId="53E78E1A">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皮山县国营牧场防渗渠建设项目</w:t>
            </w:r>
          </w:p>
        </w:tc>
        <w:tc>
          <w:tcPr>
            <w:tcW w:w="1650" w:type="dxa"/>
            <w:tcBorders>
              <w:top w:val="nil"/>
              <w:left w:val="nil"/>
              <w:bottom w:val="single" w:color="auto" w:sz="4" w:space="0"/>
              <w:right w:val="single" w:color="auto" w:sz="4" w:space="0"/>
            </w:tcBorders>
            <w:vAlign w:val="center"/>
          </w:tcPr>
          <w:p w14:paraId="4F7ED98A">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9" w:type="dxa"/>
            <w:tcBorders>
              <w:top w:val="nil"/>
              <w:left w:val="nil"/>
              <w:bottom w:val="single" w:color="auto" w:sz="4" w:space="0"/>
              <w:right w:val="single" w:color="auto" w:sz="4" w:space="0"/>
            </w:tcBorders>
            <w:vAlign w:val="center"/>
          </w:tcPr>
          <w:p w14:paraId="714E5260">
            <w:pPr>
              <w:widowControl/>
              <w:jc w:val="center"/>
              <w:rPr>
                <w:rFonts w:ascii="宋体" w:hAnsi="宋体" w:eastAsia="宋体" w:cs="宋体"/>
                <w:kern w:val="0"/>
                <w:sz w:val="18"/>
                <w:szCs w:val="18"/>
              </w:rPr>
            </w:pPr>
            <w:r>
              <w:rPr>
                <w:rFonts w:hint="eastAsia" w:ascii="宋体" w:hAnsi="宋体" w:eastAsia="宋体" w:cs="宋体"/>
                <w:kern w:val="0"/>
                <w:sz w:val="18"/>
                <w:szCs w:val="18"/>
              </w:rPr>
              <w:t>430</w:t>
            </w:r>
          </w:p>
        </w:tc>
      </w:tr>
      <w:tr w14:paraId="1DA46916">
        <w:tblPrEx>
          <w:tblCellMar>
            <w:top w:w="0" w:type="dxa"/>
            <w:left w:w="108" w:type="dxa"/>
            <w:bottom w:w="0" w:type="dxa"/>
            <w:right w:w="108" w:type="dxa"/>
          </w:tblCellMar>
        </w:tblPrEx>
        <w:trPr>
          <w:trHeight w:val="58" w:hRule="atLeast"/>
        </w:trPr>
        <w:tc>
          <w:tcPr>
            <w:tcW w:w="563" w:type="dxa"/>
            <w:tcBorders>
              <w:top w:val="nil"/>
              <w:left w:val="single" w:color="auto" w:sz="4" w:space="0"/>
              <w:bottom w:val="single" w:color="auto" w:sz="4" w:space="0"/>
              <w:right w:val="single" w:color="auto" w:sz="4" w:space="0"/>
            </w:tcBorders>
            <w:noWrap/>
            <w:vAlign w:val="center"/>
          </w:tcPr>
          <w:p w14:paraId="1F940D99">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5</w:t>
            </w:r>
          </w:p>
        </w:tc>
        <w:tc>
          <w:tcPr>
            <w:tcW w:w="962" w:type="dxa"/>
            <w:tcBorders>
              <w:top w:val="nil"/>
              <w:left w:val="nil"/>
              <w:bottom w:val="single" w:color="auto" w:sz="4" w:space="0"/>
              <w:right w:val="single" w:color="auto" w:sz="4" w:space="0"/>
            </w:tcBorders>
            <w:vAlign w:val="center"/>
          </w:tcPr>
          <w:p w14:paraId="02D2AF8E">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2025年</w:t>
            </w:r>
          </w:p>
        </w:tc>
        <w:tc>
          <w:tcPr>
            <w:tcW w:w="4672" w:type="dxa"/>
            <w:tcBorders>
              <w:top w:val="nil"/>
              <w:left w:val="nil"/>
              <w:bottom w:val="single" w:color="auto" w:sz="4" w:space="0"/>
              <w:right w:val="single" w:color="auto" w:sz="4" w:space="0"/>
            </w:tcBorders>
            <w:vAlign w:val="center"/>
          </w:tcPr>
          <w:p w14:paraId="492A5BCD">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皮山县木奎拉乡至固玛镇2025年沙产业基础设施配套项目（含饲草料基地）</w:t>
            </w:r>
          </w:p>
        </w:tc>
        <w:tc>
          <w:tcPr>
            <w:tcW w:w="1650" w:type="dxa"/>
            <w:tcBorders>
              <w:top w:val="nil"/>
              <w:left w:val="nil"/>
              <w:bottom w:val="single" w:color="auto" w:sz="4" w:space="0"/>
              <w:right w:val="single" w:color="auto" w:sz="4" w:space="0"/>
            </w:tcBorders>
            <w:vAlign w:val="center"/>
          </w:tcPr>
          <w:p w14:paraId="6C7B08BE">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9" w:type="dxa"/>
            <w:tcBorders>
              <w:top w:val="nil"/>
              <w:left w:val="nil"/>
              <w:bottom w:val="single" w:color="auto" w:sz="4" w:space="0"/>
              <w:right w:val="single" w:color="auto" w:sz="4" w:space="0"/>
            </w:tcBorders>
            <w:vAlign w:val="center"/>
          </w:tcPr>
          <w:p w14:paraId="414031A3">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1450</w:t>
            </w:r>
          </w:p>
        </w:tc>
      </w:tr>
      <w:tr w14:paraId="75FFF708">
        <w:tblPrEx>
          <w:tblCellMar>
            <w:top w:w="0" w:type="dxa"/>
            <w:left w:w="108" w:type="dxa"/>
            <w:bottom w:w="0" w:type="dxa"/>
            <w:right w:w="108" w:type="dxa"/>
          </w:tblCellMar>
        </w:tblPrEx>
        <w:trPr>
          <w:trHeight w:val="58" w:hRule="atLeast"/>
        </w:trPr>
        <w:tc>
          <w:tcPr>
            <w:tcW w:w="563" w:type="dxa"/>
            <w:tcBorders>
              <w:top w:val="nil"/>
              <w:left w:val="single" w:color="auto" w:sz="4" w:space="0"/>
              <w:bottom w:val="single" w:color="auto" w:sz="4" w:space="0"/>
              <w:right w:val="single" w:color="auto" w:sz="4" w:space="0"/>
            </w:tcBorders>
            <w:noWrap/>
            <w:vAlign w:val="center"/>
          </w:tcPr>
          <w:p w14:paraId="48BF1509">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6</w:t>
            </w:r>
          </w:p>
        </w:tc>
        <w:tc>
          <w:tcPr>
            <w:tcW w:w="962" w:type="dxa"/>
            <w:tcBorders>
              <w:top w:val="nil"/>
              <w:left w:val="nil"/>
              <w:bottom w:val="single" w:color="auto" w:sz="4" w:space="0"/>
              <w:right w:val="single" w:color="auto" w:sz="4" w:space="0"/>
            </w:tcBorders>
            <w:vAlign w:val="center"/>
          </w:tcPr>
          <w:p w14:paraId="04C7DA8E">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2025年</w:t>
            </w:r>
          </w:p>
        </w:tc>
        <w:tc>
          <w:tcPr>
            <w:tcW w:w="4672" w:type="dxa"/>
            <w:tcBorders>
              <w:top w:val="nil"/>
              <w:left w:val="nil"/>
              <w:bottom w:val="single" w:color="auto" w:sz="4" w:space="0"/>
              <w:right w:val="single" w:color="auto" w:sz="4" w:space="0"/>
            </w:tcBorders>
            <w:vAlign w:val="center"/>
          </w:tcPr>
          <w:p w14:paraId="03F53602">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皮山县科克铁热克镇2025年沙产业基础设施配套项目（含饲草料种植）</w:t>
            </w:r>
          </w:p>
        </w:tc>
        <w:tc>
          <w:tcPr>
            <w:tcW w:w="1650" w:type="dxa"/>
            <w:tcBorders>
              <w:top w:val="nil"/>
              <w:left w:val="nil"/>
              <w:bottom w:val="single" w:color="auto" w:sz="4" w:space="0"/>
              <w:right w:val="single" w:color="auto" w:sz="4" w:space="0"/>
            </w:tcBorders>
            <w:vAlign w:val="center"/>
          </w:tcPr>
          <w:p w14:paraId="53E28D3C">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9" w:type="dxa"/>
            <w:tcBorders>
              <w:top w:val="nil"/>
              <w:left w:val="nil"/>
              <w:bottom w:val="single" w:color="auto" w:sz="4" w:space="0"/>
              <w:right w:val="single" w:color="auto" w:sz="4" w:space="0"/>
            </w:tcBorders>
            <w:vAlign w:val="center"/>
          </w:tcPr>
          <w:p w14:paraId="2A0B6253">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1019.48</w:t>
            </w:r>
          </w:p>
        </w:tc>
      </w:tr>
      <w:tr w14:paraId="029E05BC">
        <w:tblPrEx>
          <w:tblCellMar>
            <w:top w:w="0" w:type="dxa"/>
            <w:left w:w="108" w:type="dxa"/>
            <w:bottom w:w="0" w:type="dxa"/>
            <w:right w:w="108" w:type="dxa"/>
          </w:tblCellMar>
        </w:tblPrEx>
        <w:trPr>
          <w:trHeight w:val="58" w:hRule="atLeast"/>
        </w:trPr>
        <w:tc>
          <w:tcPr>
            <w:tcW w:w="563" w:type="dxa"/>
            <w:tcBorders>
              <w:top w:val="nil"/>
              <w:left w:val="single" w:color="auto" w:sz="4" w:space="0"/>
              <w:bottom w:val="single" w:color="auto" w:sz="4" w:space="0"/>
              <w:right w:val="single" w:color="auto" w:sz="4" w:space="0"/>
            </w:tcBorders>
            <w:noWrap/>
            <w:vAlign w:val="center"/>
          </w:tcPr>
          <w:p w14:paraId="4A2A6FCC">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7</w:t>
            </w:r>
          </w:p>
        </w:tc>
        <w:tc>
          <w:tcPr>
            <w:tcW w:w="962" w:type="dxa"/>
            <w:tcBorders>
              <w:top w:val="nil"/>
              <w:left w:val="nil"/>
              <w:bottom w:val="single" w:color="auto" w:sz="4" w:space="0"/>
              <w:right w:val="single" w:color="auto" w:sz="4" w:space="0"/>
            </w:tcBorders>
            <w:vAlign w:val="center"/>
          </w:tcPr>
          <w:p w14:paraId="7D93EA2B">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2025年</w:t>
            </w:r>
          </w:p>
        </w:tc>
        <w:tc>
          <w:tcPr>
            <w:tcW w:w="4672" w:type="dxa"/>
            <w:tcBorders>
              <w:top w:val="nil"/>
              <w:left w:val="nil"/>
              <w:bottom w:val="single" w:color="auto" w:sz="4" w:space="0"/>
              <w:right w:val="single" w:color="auto" w:sz="4" w:space="0"/>
            </w:tcBorders>
            <w:vAlign w:val="center"/>
          </w:tcPr>
          <w:p w14:paraId="602ADFE5">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皮山县木奎拉乡2025年沙产业基础设施配套项目</w:t>
            </w:r>
          </w:p>
        </w:tc>
        <w:tc>
          <w:tcPr>
            <w:tcW w:w="1650" w:type="dxa"/>
            <w:tcBorders>
              <w:top w:val="nil"/>
              <w:left w:val="nil"/>
              <w:bottom w:val="single" w:color="auto" w:sz="4" w:space="0"/>
              <w:right w:val="single" w:color="auto" w:sz="4" w:space="0"/>
            </w:tcBorders>
            <w:vAlign w:val="center"/>
          </w:tcPr>
          <w:p w14:paraId="7B3F22DA">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9" w:type="dxa"/>
            <w:tcBorders>
              <w:top w:val="nil"/>
              <w:left w:val="nil"/>
              <w:bottom w:val="single" w:color="auto" w:sz="4" w:space="0"/>
              <w:right w:val="single" w:color="auto" w:sz="4" w:space="0"/>
            </w:tcBorders>
            <w:vAlign w:val="center"/>
          </w:tcPr>
          <w:p w14:paraId="70286605">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551.79</w:t>
            </w:r>
          </w:p>
        </w:tc>
      </w:tr>
      <w:tr w14:paraId="21B1AB35">
        <w:tblPrEx>
          <w:tblCellMar>
            <w:top w:w="0" w:type="dxa"/>
            <w:left w:w="108" w:type="dxa"/>
            <w:bottom w:w="0" w:type="dxa"/>
            <w:right w:w="108" w:type="dxa"/>
          </w:tblCellMar>
        </w:tblPrEx>
        <w:trPr>
          <w:trHeight w:val="58" w:hRule="atLeast"/>
        </w:trPr>
        <w:tc>
          <w:tcPr>
            <w:tcW w:w="563" w:type="dxa"/>
            <w:tcBorders>
              <w:top w:val="nil"/>
              <w:left w:val="single" w:color="auto" w:sz="4" w:space="0"/>
              <w:bottom w:val="single" w:color="auto" w:sz="4" w:space="0"/>
              <w:right w:val="single" w:color="auto" w:sz="4" w:space="0"/>
            </w:tcBorders>
            <w:noWrap/>
            <w:vAlign w:val="center"/>
          </w:tcPr>
          <w:p w14:paraId="4681FC9D">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8</w:t>
            </w:r>
          </w:p>
        </w:tc>
        <w:tc>
          <w:tcPr>
            <w:tcW w:w="962" w:type="dxa"/>
            <w:tcBorders>
              <w:top w:val="nil"/>
              <w:left w:val="nil"/>
              <w:bottom w:val="single" w:color="auto" w:sz="4" w:space="0"/>
              <w:right w:val="single" w:color="auto" w:sz="4" w:space="0"/>
            </w:tcBorders>
            <w:vAlign w:val="center"/>
          </w:tcPr>
          <w:p w14:paraId="5C681639">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2025年</w:t>
            </w:r>
          </w:p>
        </w:tc>
        <w:tc>
          <w:tcPr>
            <w:tcW w:w="4672" w:type="dxa"/>
            <w:tcBorders>
              <w:top w:val="nil"/>
              <w:left w:val="nil"/>
              <w:bottom w:val="single" w:color="auto" w:sz="4" w:space="0"/>
              <w:right w:val="single" w:color="auto" w:sz="4" w:space="0"/>
            </w:tcBorders>
            <w:vAlign w:val="center"/>
          </w:tcPr>
          <w:p w14:paraId="5F338D07">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皮山县木奎拉乡智慧农业建设项目（含饲草料种植）</w:t>
            </w:r>
          </w:p>
        </w:tc>
        <w:tc>
          <w:tcPr>
            <w:tcW w:w="1650" w:type="dxa"/>
            <w:tcBorders>
              <w:top w:val="nil"/>
              <w:left w:val="nil"/>
              <w:bottom w:val="single" w:color="auto" w:sz="4" w:space="0"/>
              <w:right w:val="single" w:color="auto" w:sz="4" w:space="0"/>
            </w:tcBorders>
            <w:vAlign w:val="center"/>
          </w:tcPr>
          <w:p w14:paraId="167CA768">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9" w:type="dxa"/>
            <w:tcBorders>
              <w:top w:val="nil"/>
              <w:left w:val="nil"/>
              <w:bottom w:val="single" w:color="auto" w:sz="4" w:space="0"/>
              <w:right w:val="single" w:color="auto" w:sz="4" w:space="0"/>
            </w:tcBorders>
            <w:vAlign w:val="center"/>
          </w:tcPr>
          <w:p w14:paraId="3F6C8F94">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350</w:t>
            </w:r>
          </w:p>
        </w:tc>
      </w:tr>
      <w:tr w14:paraId="30C60ACF">
        <w:tblPrEx>
          <w:tblCellMar>
            <w:top w:w="0" w:type="dxa"/>
            <w:left w:w="108" w:type="dxa"/>
            <w:bottom w:w="0" w:type="dxa"/>
            <w:right w:w="108" w:type="dxa"/>
          </w:tblCellMar>
        </w:tblPrEx>
        <w:trPr>
          <w:trHeight w:val="58" w:hRule="atLeast"/>
        </w:trPr>
        <w:tc>
          <w:tcPr>
            <w:tcW w:w="563" w:type="dxa"/>
            <w:tcBorders>
              <w:top w:val="nil"/>
              <w:left w:val="single" w:color="auto" w:sz="4" w:space="0"/>
              <w:bottom w:val="single" w:color="auto" w:sz="4" w:space="0"/>
              <w:right w:val="single" w:color="auto" w:sz="4" w:space="0"/>
            </w:tcBorders>
            <w:noWrap/>
            <w:vAlign w:val="center"/>
          </w:tcPr>
          <w:p w14:paraId="34C574EA">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9</w:t>
            </w:r>
          </w:p>
        </w:tc>
        <w:tc>
          <w:tcPr>
            <w:tcW w:w="962" w:type="dxa"/>
            <w:tcBorders>
              <w:top w:val="nil"/>
              <w:left w:val="nil"/>
              <w:bottom w:val="single" w:color="auto" w:sz="4" w:space="0"/>
              <w:right w:val="single" w:color="auto" w:sz="4" w:space="0"/>
            </w:tcBorders>
            <w:vAlign w:val="center"/>
          </w:tcPr>
          <w:p w14:paraId="6D8C4E89">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2025年</w:t>
            </w:r>
          </w:p>
        </w:tc>
        <w:tc>
          <w:tcPr>
            <w:tcW w:w="4672" w:type="dxa"/>
            <w:tcBorders>
              <w:top w:val="nil"/>
              <w:left w:val="nil"/>
              <w:bottom w:val="single" w:color="auto" w:sz="4" w:space="0"/>
              <w:right w:val="single" w:color="auto" w:sz="4" w:space="0"/>
            </w:tcBorders>
            <w:vAlign w:val="center"/>
          </w:tcPr>
          <w:p w14:paraId="11BF1BDF">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皮山县2025年推动产业帮扶精准到户项目（含饲草料种植补助）</w:t>
            </w:r>
          </w:p>
        </w:tc>
        <w:tc>
          <w:tcPr>
            <w:tcW w:w="1650" w:type="dxa"/>
            <w:tcBorders>
              <w:top w:val="nil"/>
              <w:left w:val="nil"/>
              <w:bottom w:val="single" w:color="auto" w:sz="4" w:space="0"/>
              <w:right w:val="single" w:color="auto" w:sz="4" w:space="0"/>
            </w:tcBorders>
            <w:vAlign w:val="center"/>
          </w:tcPr>
          <w:p w14:paraId="0C18BC2B">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99" w:type="dxa"/>
            <w:tcBorders>
              <w:top w:val="nil"/>
              <w:left w:val="nil"/>
              <w:bottom w:val="single" w:color="auto" w:sz="4" w:space="0"/>
              <w:right w:val="single" w:color="auto" w:sz="4" w:space="0"/>
            </w:tcBorders>
            <w:vAlign w:val="center"/>
          </w:tcPr>
          <w:p w14:paraId="6EB28611">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14063</w:t>
            </w:r>
          </w:p>
        </w:tc>
      </w:tr>
    </w:tbl>
    <w:p w14:paraId="1449A46E">
      <w:pPr>
        <w:spacing w:line="580" w:lineRule="exact"/>
        <w:ind w:firstLine="562" w:firstLineChars="200"/>
        <w:rPr>
          <w:b/>
          <w:sz w:val="28"/>
        </w:rPr>
      </w:pPr>
      <w:r>
        <w:rPr>
          <w:rFonts w:hint="eastAsia"/>
          <w:b/>
          <w:sz w:val="28"/>
        </w:rPr>
        <w:t>3、产业融合赋能农业</w:t>
      </w:r>
    </w:p>
    <w:p w14:paraId="49280142">
      <w:pPr>
        <w:spacing w:line="580" w:lineRule="exact"/>
        <w:ind w:firstLine="560" w:firstLineChars="200"/>
        <w:rPr>
          <w:sz w:val="28"/>
        </w:rPr>
      </w:pPr>
      <w:r>
        <w:rPr>
          <w:rFonts w:hint="eastAsia"/>
          <w:sz w:val="28"/>
        </w:rPr>
        <w:t>皮山县通过“全链延伸、科技赋能、文旅引爆、机制创新”，构建“农业为基、加工为核、文旅为翼”的融合体系，实现三产融合带动就业，为干旱区农业现代化提供“节水高效、三产联动”的产业融合典型范式。</w:t>
      </w:r>
    </w:p>
    <w:p w14:paraId="4FD10622">
      <w:pPr>
        <w:spacing w:line="580" w:lineRule="exact"/>
        <w:ind w:firstLine="560" w:firstLineChars="200"/>
        <w:rPr>
          <w:sz w:val="28"/>
        </w:rPr>
      </w:pPr>
      <w:r>
        <w:rPr>
          <w:rFonts w:hint="eastAsia"/>
          <w:sz w:val="28"/>
        </w:rPr>
        <w:t>通过公开竞争程序择优引进具备瓜蒌深加工能力的优质企业，建设年处理5000吨的瓜蒌深加工项目（含饮片、瓜蒌酒、休闲食品），加工转化率提升至40%，附加值增长3倍。皮山明星杏采摘活动融合美食展销、民俗体验与亲子旅游，单场吸引3500人参与，推动“农旅销”一体化，延伸产业链价值。</w:t>
      </w:r>
    </w:p>
    <w:p w14:paraId="7854168E">
      <w:pPr>
        <w:widowControl/>
        <w:jc w:val="center"/>
        <w:rPr>
          <w:rFonts w:ascii="宋体" w:hAnsi="宋体" w:eastAsia="宋体" w:cs="宋体"/>
          <w:b/>
          <w:bCs/>
          <w:kern w:val="0"/>
          <w:sz w:val="18"/>
          <w:szCs w:val="18"/>
        </w:rPr>
      </w:pPr>
      <w:r>
        <w:rPr>
          <w:rFonts w:hint="eastAsia"/>
          <w:b/>
          <w:sz w:val="28"/>
        </w:rPr>
        <w:t>表1-6 “十四五”期间完成产业融合建设项目统计表</w:t>
      </w:r>
    </w:p>
    <w:tbl>
      <w:tblPr>
        <w:tblStyle w:val="25"/>
        <w:tblW w:w="8946" w:type="dxa"/>
        <w:tblInd w:w="0" w:type="dxa"/>
        <w:tblLayout w:type="fixed"/>
        <w:tblCellMar>
          <w:top w:w="0" w:type="dxa"/>
          <w:left w:w="108" w:type="dxa"/>
          <w:bottom w:w="0" w:type="dxa"/>
          <w:right w:w="108" w:type="dxa"/>
        </w:tblCellMar>
      </w:tblPr>
      <w:tblGrid>
        <w:gridCol w:w="691"/>
        <w:gridCol w:w="946"/>
        <w:gridCol w:w="4332"/>
        <w:gridCol w:w="1895"/>
        <w:gridCol w:w="1082"/>
      </w:tblGrid>
      <w:tr w14:paraId="5DFDC7A9">
        <w:tblPrEx>
          <w:tblCellMar>
            <w:top w:w="0" w:type="dxa"/>
            <w:left w:w="108" w:type="dxa"/>
            <w:bottom w:w="0" w:type="dxa"/>
            <w:right w:w="108" w:type="dxa"/>
          </w:tblCellMar>
        </w:tblPrEx>
        <w:trPr>
          <w:trHeight w:val="537" w:hRule="atLeast"/>
        </w:trPr>
        <w:tc>
          <w:tcPr>
            <w:tcW w:w="691" w:type="dxa"/>
            <w:tcBorders>
              <w:top w:val="single" w:color="auto" w:sz="4" w:space="0"/>
              <w:left w:val="single" w:color="auto" w:sz="4" w:space="0"/>
              <w:bottom w:val="single" w:color="auto" w:sz="4" w:space="0"/>
              <w:right w:val="single" w:color="auto" w:sz="4" w:space="0"/>
            </w:tcBorders>
            <w:vAlign w:val="center"/>
          </w:tcPr>
          <w:p w14:paraId="33CC4E1A">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946" w:type="dxa"/>
            <w:tcBorders>
              <w:top w:val="single" w:color="auto" w:sz="4" w:space="0"/>
              <w:left w:val="nil"/>
              <w:bottom w:val="single" w:color="auto" w:sz="4" w:space="0"/>
              <w:right w:val="single" w:color="auto" w:sz="4" w:space="0"/>
            </w:tcBorders>
            <w:vAlign w:val="center"/>
          </w:tcPr>
          <w:p w14:paraId="2AE99C77">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年度</w:t>
            </w:r>
          </w:p>
        </w:tc>
        <w:tc>
          <w:tcPr>
            <w:tcW w:w="4332" w:type="dxa"/>
            <w:tcBorders>
              <w:top w:val="single" w:color="auto" w:sz="4" w:space="0"/>
              <w:left w:val="nil"/>
              <w:bottom w:val="single" w:color="auto" w:sz="4" w:space="0"/>
              <w:right w:val="single" w:color="auto" w:sz="4" w:space="0"/>
            </w:tcBorders>
            <w:vAlign w:val="center"/>
          </w:tcPr>
          <w:p w14:paraId="469630D8">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项目名称</w:t>
            </w:r>
          </w:p>
        </w:tc>
        <w:tc>
          <w:tcPr>
            <w:tcW w:w="1895" w:type="dxa"/>
            <w:tcBorders>
              <w:top w:val="single" w:color="auto" w:sz="4" w:space="0"/>
              <w:left w:val="nil"/>
              <w:bottom w:val="single" w:color="auto" w:sz="4" w:space="0"/>
              <w:right w:val="single" w:color="auto" w:sz="4" w:space="0"/>
            </w:tcBorders>
            <w:vAlign w:val="center"/>
          </w:tcPr>
          <w:p w14:paraId="04CF5B1E">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资金来源</w:t>
            </w:r>
          </w:p>
        </w:tc>
        <w:tc>
          <w:tcPr>
            <w:tcW w:w="1082" w:type="dxa"/>
            <w:tcBorders>
              <w:top w:val="single" w:color="auto" w:sz="4" w:space="0"/>
              <w:left w:val="nil"/>
              <w:bottom w:val="single" w:color="auto" w:sz="4" w:space="0"/>
              <w:right w:val="single" w:color="auto" w:sz="4" w:space="0"/>
            </w:tcBorders>
            <w:vAlign w:val="center"/>
          </w:tcPr>
          <w:p w14:paraId="76AAE477">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总投资</w:t>
            </w:r>
            <w:r>
              <w:rPr>
                <w:rFonts w:hint="eastAsia" w:ascii="宋体" w:hAnsi="宋体" w:eastAsia="宋体" w:cs="宋体"/>
                <w:b/>
                <w:bCs/>
                <w:kern w:val="0"/>
                <w:sz w:val="18"/>
                <w:szCs w:val="18"/>
              </w:rPr>
              <w:br w:type="textWrapping"/>
            </w:r>
            <w:r>
              <w:rPr>
                <w:rFonts w:hint="eastAsia" w:ascii="宋体" w:hAnsi="宋体" w:eastAsia="宋体" w:cs="宋体"/>
                <w:b/>
                <w:bCs/>
                <w:kern w:val="0"/>
                <w:sz w:val="18"/>
                <w:szCs w:val="18"/>
              </w:rPr>
              <w:t>（万元）</w:t>
            </w:r>
          </w:p>
        </w:tc>
      </w:tr>
      <w:tr w14:paraId="276FB7B3">
        <w:tblPrEx>
          <w:tblCellMar>
            <w:top w:w="0" w:type="dxa"/>
            <w:left w:w="108" w:type="dxa"/>
            <w:bottom w:w="0" w:type="dxa"/>
            <w:right w:w="108" w:type="dxa"/>
          </w:tblCellMar>
        </w:tblPrEx>
        <w:trPr>
          <w:trHeight w:val="435" w:hRule="atLeast"/>
        </w:trPr>
        <w:tc>
          <w:tcPr>
            <w:tcW w:w="5969" w:type="dxa"/>
            <w:gridSpan w:val="3"/>
            <w:tcBorders>
              <w:top w:val="single" w:color="auto" w:sz="4" w:space="0"/>
              <w:left w:val="single" w:color="auto" w:sz="4" w:space="0"/>
              <w:bottom w:val="single" w:color="auto" w:sz="4" w:space="0"/>
              <w:right w:val="single" w:color="auto" w:sz="4" w:space="0"/>
            </w:tcBorders>
            <w:vAlign w:val="center"/>
          </w:tcPr>
          <w:p w14:paraId="43A3755F">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合计：</w:t>
            </w:r>
            <w:r>
              <w:rPr>
                <w:rFonts w:ascii="宋体" w:hAnsi="宋体" w:eastAsia="宋体" w:cs="宋体"/>
                <w:b/>
                <w:bCs/>
                <w:kern w:val="0"/>
                <w:sz w:val="18"/>
                <w:szCs w:val="18"/>
              </w:rPr>
              <w:t>6</w:t>
            </w:r>
            <w:r>
              <w:rPr>
                <w:rFonts w:hint="eastAsia" w:ascii="宋体" w:hAnsi="宋体" w:eastAsia="宋体" w:cs="宋体"/>
                <w:b/>
                <w:bCs/>
                <w:kern w:val="0"/>
                <w:sz w:val="18"/>
                <w:szCs w:val="18"/>
              </w:rPr>
              <w:t>个项目</w:t>
            </w:r>
          </w:p>
        </w:tc>
        <w:tc>
          <w:tcPr>
            <w:tcW w:w="2977" w:type="dxa"/>
            <w:gridSpan w:val="2"/>
            <w:tcBorders>
              <w:top w:val="single" w:color="auto" w:sz="4" w:space="0"/>
              <w:left w:val="nil"/>
              <w:bottom w:val="single" w:color="auto" w:sz="4" w:space="0"/>
              <w:right w:val="single" w:color="auto" w:sz="4" w:space="0"/>
            </w:tcBorders>
            <w:vAlign w:val="center"/>
          </w:tcPr>
          <w:p w14:paraId="70DF5B28">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合计：</w:t>
            </w:r>
            <w:r>
              <w:rPr>
                <w:rFonts w:ascii="宋体" w:hAnsi="宋体" w:eastAsia="宋体" w:cs="宋体"/>
                <w:b/>
                <w:bCs/>
                <w:kern w:val="0"/>
                <w:sz w:val="18"/>
                <w:szCs w:val="18"/>
              </w:rPr>
              <w:t>19257</w:t>
            </w:r>
          </w:p>
        </w:tc>
      </w:tr>
      <w:tr w14:paraId="5E0AACBE">
        <w:tblPrEx>
          <w:tblCellMar>
            <w:top w:w="0" w:type="dxa"/>
            <w:left w:w="108" w:type="dxa"/>
            <w:bottom w:w="0" w:type="dxa"/>
            <w:right w:w="108" w:type="dxa"/>
          </w:tblCellMar>
        </w:tblPrEx>
        <w:trPr>
          <w:trHeight w:val="399" w:hRule="atLeast"/>
        </w:trPr>
        <w:tc>
          <w:tcPr>
            <w:tcW w:w="691" w:type="dxa"/>
            <w:tcBorders>
              <w:top w:val="nil"/>
              <w:left w:val="single" w:color="auto" w:sz="4" w:space="0"/>
              <w:bottom w:val="single" w:color="auto" w:sz="4" w:space="0"/>
              <w:right w:val="single" w:color="auto" w:sz="4" w:space="0"/>
            </w:tcBorders>
            <w:noWrap/>
            <w:vAlign w:val="center"/>
          </w:tcPr>
          <w:p w14:paraId="0AF0B8CC">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1</w:t>
            </w:r>
          </w:p>
        </w:tc>
        <w:tc>
          <w:tcPr>
            <w:tcW w:w="946" w:type="dxa"/>
            <w:tcBorders>
              <w:top w:val="nil"/>
              <w:left w:val="nil"/>
              <w:bottom w:val="single" w:color="auto" w:sz="4" w:space="0"/>
              <w:right w:val="single" w:color="auto" w:sz="4" w:space="0"/>
            </w:tcBorders>
            <w:vAlign w:val="center"/>
          </w:tcPr>
          <w:p w14:paraId="0AD02383">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2021年</w:t>
            </w:r>
          </w:p>
        </w:tc>
        <w:tc>
          <w:tcPr>
            <w:tcW w:w="4332" w:type="dxa"/>
            <w:tcBorders>
              <w:top w:val="nil"/>
              <w:left w:val="nil"/>
              <w:bottom w:val="single" w:color="auto" w:sz="4" w:space="0"/>
              <w:right w:val="single" w:color="auto" w:sz="4" w:space="0"/>
            </w:tcBorders>
            <w:vAlign w:val="center"/>
          </w:tcPr>
          <w:p w14:paraId="68010143">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皮山县香菇保鲜库建设项目</w:t>
            </w:r>
          </w:p>
        </w:tc>
        <w:tc>
          <w:tcPr>
            <w:tcW w:w="1895" w:type="dxa"/>
            <w:tcBorders>
              <w:top w:val="nil"/>
              <w:left w:val="nil"/>
              <w:bottom w:val="single" w:color="auto" w:sz="4" w:space="0"/>
              <w:right w:val="single" w:color="auto" w:sz="4" w:space="0"/>
            </w:tcBorders>
            <w:vAlign w:val="center"/>
          </w:tcPr>
          <w:p w14:paraId="6F8741CC">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第二批扶贫资金</w:t>
            </w:r>
          </w:p>
        </w:tc>
        <w:tc>
          <w:tcPr>
            <w:tcW w:w="1082" w:type="dxa"/>
            <w:tcBorders>
              <w:top w:val="nil"/>
              <w:left w:val="nil"/>
              <w:bottom w:val="single" w:color="auto" w:sz="4" w:space="0"/>
              <w:right w:val="single" w:color="auto" w:sz="4" w:space="0"/>
            </w:tcBorders>
            <w:vAlign w:val="center"/>
          </w:tcPr>
          <w:p w14:paraId="5AC73385">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376</w:t>
            </w:r>
          </w:p>
        </w:tc>
      </w:tr>
      <w:tr w14:paraId="248A634E">
        <w:tblPrEx>
          <w:tblCellMar>
            <w:top w:w="0" w:type="dxa"/>
            <w:left w:w="108" w:type="dxa"/>
            <w:bottom w:w="0" w:type="dxa"/>
            <w:right w:w="108" w:type="dxa"/>
          </w:tblCellMar>
        </w:tblPrEx>
        <w:trPr>
          <w:trHeight w:val="399" w:hRule="atLeast"/>
        </w:trPr>
        <w:tc>
          <w:tcPr>
            <w:tcW w:w="691" w:type="dxa"/>
            <w:tcBorders>
              <w:top w:val="nil"/>
              <w:left w:val="single" w:color="auto" w:sz="4" w:space="0"/>
              <w:bottom w:val="single" w:color="auto" w:sz="4" w:space="0"/>
              <w:right w:val="single" w:color="auto" w:sz="4" w:space="0"/>
            </w:tcBorders>
            <w:noWrap/>
            <w:vAlign w:val="center"/>
          </w:tcPr>
          <w:p w14:paraId="4C6EEA64">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2</w:t>
            </w:r>
          </w:p>
        </w:tc>
        <w:tc>
          <w:tcPr>
            <w:tcW w:w="946" w:type="dxa"/>
            <w:tcBorders>
              <w:top w:val="nil"/>
              <w:left w:val="nil"/>
              <w:bottom w:val="single" w:color="auto" w:sz="4" w:space="0"/>
              <w:right w:val="single" w:color="auto" w:sz="4" w:space="0"/>
            </w:tcBorders>
            <w:vAlign w:val="center"/>
          </w:tcPr>
          <w:p w14:paraId="7F5D104B">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2022年</w:t>
            </w:r>
          </w:p>
        </w:tc>
        <w:tc>
          <w:tcPr>
            <w:tcW w:w="4332" w:type="dxa"/>
            <w:tcBorders>
              <w:top w:val="nil"/>
              <w:left w:val="nil"/>
              <w:bottom w:val="single" w:color="auto" w:sz="4" w:space="0"/>
              <w:right w:val="single" w:color="auto" w:sz="4" w:space="0"/>
            </w:tcBorders>
            <w:vAlign w:val="center"/>
          </w:tcPr>
          <w:p w14:paraId="2BEB4B0D">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皮山县农副产品冷链物流配送中心建设项目</w:t>
            </w:r>
          </w:p>
        </w:tc>
        <w:tc>
          <w:tcPr>
            <w:tcW w:w="1895" w:type="dxa"/>
            <w:tcBorders>
              <w:top w:val="nil"/>
              <w:left w:val="nil"/>
              <w:bottom w:val="single" w:color="auto" w:sz="4" w:space="0"/>
              <w:right w:val="single" w:color="auto" w:sz="4" w:space="0"/>
            </w:tcBorders>
            <w:vAlign w:val="center"/>
          </w:tcPr>
          <w:p w14:paraId="3AED90BA">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专项债券衔接资金</w:t>
            </w:r>
          </w:p>
        </w:tc>
        <w:tc>
          <w:tcPr>
            <w:tcW w:w="1082" w:type="dxa"/>
            <w:tcBorders>
              <w:top w:val="nil"/>
              <w:left w:val="nil"/>
              <w:bottom w:val="single" w:color="auto" w:sz="4" w:space="0"/>
              <w:right w:val="single" w:color="auto" w:sz="4" w:space="0"/>
            </w:tcBorders>
            <w:vAlign w:val="center"/>
          </w:tcPr>
          <w:p w14:paraId="1037E43E">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12000</w:t>
            </w:r>
          </w:p>
        </w:tc>
      </w:tr>
      <w:tr w14:paraId="7D70C59C">
        <w:tblPrEx>
          <w:tblCellMar>
            <w:top w:w="0" w:type="dxa"/>
            <w:left w:w="108" w:type="dxa"/>
            <w:bottom w:w="0" w:type="dxa"/>
            <w:right w:w="108" w:type="dxa"/>
          </w:tblCellMar>
        </w:tblPrEx>
        <w:trPr>
          <w:trHeight w:val="235" w:hRule="atLeast"/>
        </w:trPr>
        <w:tc>
          <w:tcPr>
            <w:tcW w:w="691" w:type="dxa"/>
            <w:tcBorders>
              <w:top w:val="nil"/>
              <w:left w:val="single" w:color="auto" w:sz="4" w:space="0"/>
              <w:bottom w:val="single" w:color="auto" w:sz="4" w:space="0"/>
              <w:right w:val="single" w:color="auto" w:sz="4" w:space="0"/>
            </w:tcBorders>
            <w:noWrap/>
          </w:tcPr>
          <w:p w14:paraId="3559D02E">
            <w:pPr>
              <w:widowControl/>
              <w:jc w:val="center"/>
              <w:rPr>
                <w:rFonts w:ascii="宋体" w:hAnsi="宋体" w:eastAsia="宋体" w:cs="宋体"/>
                <w:b/>
                <w:bCs/>
                <w:kern w:val="0"/>
                <w:sz w:val="18"/>
                <w:szCs w:val="18"/>
              </w:rPr>
            </w:pPr>
            <w:r>
              <w:rPr>
                <w:rFonts w:ascii="宋体" w:hAnsi="宋体" w:eastAsia="宋体" w:cs="宋体"/>
                <w:b/>
                <w:bCs/>
                <w:kern w:val="0"/>
                <w:sz w:val="18"/>
                <w:szCs w:val="18"/>
              </w:rPr>
              <w:t>3</w:t>
            </w:r>
          </w:p>
        </w:tc>
        <w:tc>
          <w:tcPr>
            <w:tcW w:w="946" w:type="dxa"/>
            <w:tcBorders>
              <w:top w:val="nil"/>
              <w:left w:val="nil"/>
              <w:bottom w:val="single" w:color="auto" w:sz="4" w:space="0"/>
              <w:right w:val="single" w:color="auto" w:sz="4" w:space="0"/>
            </w:tcBorders>
          </w:tcPr>
          <w:p w14:paraId="581AE3A4">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2025年</w:t>
            </w:r>
          </w:p>
        </w:tc>
        <w:tc>
          <w:tcPr>
            <w:tcW w:w="4332" w:type="dxa"/>
            <w:tcBorders>
              <w:top w:val="nil"/>
              <w:left w:val="nil"/>
              <w:bottom w:val="single" w:color="auto" w:sz="4" w:space="0"/>
              <w:right w:val="single" w:color="auto" w:sz="4" w:space="0"/>
            </w:tcBorders>
          </w:tcPr>
          <w:p w14:paraId="41766352">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皮山县乡村振兴发展壮大村集体经济建设项目（藏桂乡9994.4㎡冷库）</w:t>
            </w:r>
          </w:p>
        </w:tc>
        <w:tc>
          <w:tcPr>
            <w:tcW w:w="1895" w:type="dxa"/>
            <w:tcBorders>
              <w:top w:val="nil"/>
              <w:left w:val="nil"/>
              <w:bottom w:val="single" w:color="auto" w:sz="4" w:space="0"/>
              <w:right w:val="single" w:color="auto" w:sz="4" w:space="0"/>
            </w:tcBorders>
          </w:tcPr>
          <w:p w14:paraId="118677A2">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衔接资金</w:t>
            </w:r>
          </w:p>
        </w:tc>
        <w:tc>
          <w:tcPr>
            <w:tcW w:w="1082" w:type="dxa"/>
            <w:tcBorders>
              <w:top w:val="nil"/>
              <w:left w:val="nil"/>
              <w:bottom w:val="single" w:color="auto" w:sz="4" w:space="0"/>
              <w:right w:val="single" w:color="auto" w:sz="4" w:space="0"/>
            </w:tcBorders>
          </w:tcPr>
          <w:p w14:paraId="0E8CC579">
            <w:pPr>
              <w:widowControl/>
              <w:jc w:val="center"/>
              <w:rPr>
                <w:rFonts w:ascii="宋体" w:hAnsi="宋体" w:eastAsia="宋体" w:cs="宋体"/>
                <w:b/>
                <w:bCs/>
                <w:kern w:val="0"/>
                <w:sz w:val="18"/>
                <w:szCs w:val="18"/>
              </w:rPr>
            </w:pPr>
            <w:r>
              <w:rPr>
                <w:rFonts w:ascii="宋体" w:hAnsi="宋体" w:eastAsia="宋体" w:cs="宋体"/>
                <w:b/>
                <w:bCs/>
                <w:kern w:val="0"/>
                <w:sz w:val="18"/>
                <w:szCs w:val="18"/>
              </w:rPr>
              <w:t>2200</w:t>
            </w:r>
          </w:p>
        </w:tc>
      </w:tr>
      <w:tr w14:paraId="74E5A7A5">
        <w:tblPrEx>
          <w:tblCellMar>
            <w:top w:w="0" w:type="dxa"/>
            <w:left w:w="108" w:type="dxa"/>
            <w:bottom w:w="0" w:type="dxa"/>
            <w:right w:w="108" w:type="dxa"/>
          </w:tblCellMar>
        </w:tblPrEx>
        <w:trPr>
          <w:trHeight w:val="235" w:hRule="atLeast"/>
        </w:trPr>
        <w:tc>
          <w:tcPr>
            <w:tcW w:w="691" w:type="dxa"/>
            <w:tcBorders>
              <w:top w:val="nil"/>
              <w:left w:val="single" w:color="auto" w:sz="4" w:space="0"/>
              <w:bottom w:val="single" w:color="auto" w:sz="4" w:space="0"/>
              <w:right w:val="single" w:color="auto" w:sz="4" w:space="0"/>
            </w:tcBorders>
            <w:noWrap/>
          </w:tcPr>
          <w:p w14:paraId="4EB7F00F">
            <w:pPr>
              <w:widowControl/>
              <w:jc w:val="center"/>
              <w:rPr>
                <w:rFonts w:ascii="宋体" w:hAnsi="宋体" w:eastAsia="宋体" w:cs="宋体"/>
                <w:kern w:val="0"/>
                <w:sz w:val="18"/>
                <w:szCs w:val="18"/>
              </w:rPr>
            </w:pPr>
            <w:r>
              <w:rPr>
                <w:rFonts w:ascii="宋体" w:hAnsi="宋体" w:eastAsia="宋体" w:cs="宋体"/>
                <w:kern w:val="0"/>
                <w:sz w:val="18"/>
                <w:szCs w:val="18"/>
              </w:rPr>
              <w:t>4</w:t>
            </w:r>
          </w:p>
        </w:tc>
        <w:tc>
          <w:tcPr>
            <w:tcW w:w="946" w:type="dxa"/>
            <w:tcBorders>
              <w:top w:val="nil"/>
              <w:left w:val="nil"/>
              <w:bottom w:val="single" w:color="auto" w:sz="4" w:space="0"/>
              <w:right w:val="single" w:color="auto" w:sz="4" w:space="0"/>
            </w:tcBorders>
          </w:tcPr>
          <w:p w14:paraId="05F16526">
            <w:pPr>
              <w:widowControl/>
              <w:jc w:val="center"/>
              <w:rPr>
                <w:rFonts w:ascii="宋体" w:hAnsi="宋体" w:eastAsia="宋体" w:cs="宋体"/>
                <w:kern w:val="0"/>
                <w:sz w:val="18"/>
                <w:szCs w:val="18"/>
              </w:rPr>
            </w:pPr>
            <w:r>
              <w:rPr>
                <w:rFonts w:hint="eastAsia" w:ascii="宋体" w:hAnsi="宋体" w:eastAsia="宋体" w:cs="宋体"/>
                <w:kern w:val="0"/>
                <w:sz w:val="18"/>
                <w:szCs w:val="18"/>
              </w:rPr>
              <w:t>2025年</w:t>
            </w:r>
          </w:p>
        </w:tc>
        <w:tc>
          <w:tcPr>
            <w:tcW w:w="4332" w:type="dxa"/>
            <w:tcBorders>
              <w:top w:val="nil"/>
              <w:left w:val="nil"/>
              <w:bottom w:val="single" w:color="auto" w:sz="4" w:space="0"/>
              <w:right w:val="single" w:color="auto" w:sz="4" w:space="0"/>
            </w:tcBorders>
          </w:tcPr>
          <w:p w14:paraId="34FBAD66">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皮山县皮西那乡2025年壮大村集体经济项目（樱桃园+智慧灌溉）</w:t>
            </w:r>
          </w:p>
        </w:tc>
        <w:tc>
          <w:tcPr>
            <w:tcW w:w="1895" w:type="dxa"/>
            <w:tcBorders>
              <w:top w:val="nil"/>
              <w:left w:val="nil"/>
              <w:bottom w:val="single" w:color="auto" w:sz="4" w:space="0"/>
              <w:right w:val="single" w:color="auto" w:sz="4" w:space="0"/>
            </w:tcBorders>
          </w:tcPr>
          <w:p w14:paraId="2022F08C">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82" w:type="dxa"/>
            <w:tcBorders>
              <w:top w:val="nil"/>
              <w:left w:val="nil"/>
              <w:bottom w:val="single" w:color="auto" w:sz="4" w:space="0"/>
              <w:right w:val="single" w:color="auto" w:sz="4" w:space="0"/>
            </w:tcBorders>
          </w:tcPr>
          <w:p w14:paraId="2A4363F5">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227</w:t>
            </w:r>
          </w:p>
        </w:tc>
      </w:tr>
      <w:tr w14:paraId="354C958E">
        <w:tblPrEx>
          <w:tblCellMar>
            <w:top w:w="0" w:type="dxa"/>
            <w:left w:w="108" w:type="dxa"/>
            <w:bottom w:w="0" w:type="dxa"/>
            <w:right w:w="108" w:type="dxa"/>
          </w:tblCellMar>
        </w:tblPrEx>
        <w:trPr>
          <w:trHeight w:val="235" w:hRule="atLeast"/>
        </w:trPr>
        <w:tc>
          <w:tcPr>
            <w:tcW w:w="691" w:type="dxa"/>
            <w:tcBorders>
              <w:top w:val="nil"/>
              <w:left w:val="single" w:color="auto" w:sz="4" w:space="0"/>
              <w:bottom w:val="single" w:color="auto" w:sz="4" w:space="0"/>
              <w:right w:val="single" w:color="auto" w:sz="4" w:space="0"/>
            </w:tcBorders>
            <w:noWrap/>
          </w:tcPr>
          <w:p w14:paraId="69D7A379">
            <w:pPr>
              <w:widowControl/>
              <w:jc w:val="center"/>
              <w:rPr>
                <w:rFonts w:ascii="宋体" w:hAnsi="宋体" w:eastAsia="宋体" w:cs="宋体"/>
                <w:kern w:val="0"/>
                <w:sz w:val="18"/>
                <w:szCs w:val="18"/>
              </w:rPr>
            </w:pPr>
            <w:r>
              <w:rPr>
                <w:rFonts w:ascii="宋体" w:hAnsi="宋体" w:eastAsia="宋体" w:cs="宋体"/>
                <w:kern w:val="0"/>
                <w:sz w:val="18"/>
                <w:szCs w:val="18"/>
              </w:rPr>
              <w:t>5</w:t>
            </w:r>
          </w:p>
        </w:tc>
        <w:tc>
          <w:tcPr>
            <w:tcW w:w="946" w:type="dxa"/>
            <w:tcBorders>
              <w:top w:val="nil"/>
              <w:left w:val="nil"/>
              <w:bottom w:val="single" w:color="auto" w:sz="4" w:space="0"/>
              <w:right w:val="single" w:color="auto" w:sz="4" w:space="0"/>
            </w:tcBorders>
          </w:tcPr>
          <w:p w14:paraId="013875F1">
            <w:pPr>
              <w:widowControl/>
              <w:jc w:val="center"/>
              <w:rPr>
                <w:rFonts w:ascii="宋体" w:hAnsi="宋体" w:eastAsia="宋体" w:cs="宋体"/>
                <w:kern w:val="0"/>
                <w:sz w:val="18"/>
                <w:szCs w:val="18"/>
              </w:rPr>
            </w:pPr>
            <w:r>
              <w:rPr>
                <w:rFonts w:hint="eastAsia" w:ascii="宋体" w:hAnsi="宋体" w:eastAsia="宋体" w:cs="宋体"/>
                <w:kern w:val="0"/>
                <w:sz w:val="18"/>
                <w:szCs w:val="18"/>
              </w:rPr>
              <w:t>2025年</w:t>
            </w:r>
          </w:p>
        </w:tc>
        <w:tc>
          <w:tcPr>
            <w:tcW w:w="4332" w:type="dxa"/>
            <w:tcBorders>
              <w:top w:val="nil"/>
              <w:left w:val="nil"/>
              <w:bottom w:val="single" w:color="auto" w:sz="4" w:space="0"/>
              <w:right w:val="single" w:color="auto" w:sz="4" w:space="0"/>
            </w:tcBorders>
          </w:tcPr>
          <w:p w14:paraId="09B51639">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皮山县2025年纺织服装标准化厂房建设项目</w:t>
            </w:r>
          </w:p>
        </w:tc>
        <w:tc>
          <w:tcPr>
            <w:tcW w:w="1895" w:type="dxa"/>
            <w:tcBorders>
              <w:top w:val="nil"/>
              <w:left w:val="nil"/>
              <w:bottom w:val="single" w:color="auto" w:sz="4" w:space="0"/>
              <w:right w:val="single" w:color="auto" w:sz="4" w:space="0"/>
            </w:tcBorders>
          </w:tcPr>
          <w:p w14:paraId="35D451AE">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82" w:type="dxa"/>
            <w:tcBorders>
              <w:top w:val="nil"/>
              <w:left w:val="nil"/>
              <w:bottom w:val="single" w:color="auto" w:sz="4" w:space="0"/>
              <w:right w:val="single" w:color="auto" w:sz="4" w:space="0"/>
            </w:tcBorders>
          </w:tcPr>
          <w:p w14:paraId="7E4ACC08">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4394</w:t>
            </w:r>
          </w:p>
        </w:tc>
      </w:tr>
      <w:tr w14:paraId="7E38F5AA">
        <w:tblPrEx>
          <w:tblCellMar>
            <w:top w:w="0" w:type="dxa"/>
            <w:left w:w="108" w:type="dxa"/>
            <w:bottom w:w="0" w:type="dxa"/>
            <w:right w:w="108" w:type="dxa"/>
          </w:tblCellMar>
        </w:tblPrEx>
        <w:trPr>
          <w:trHeight w:val="235" w:hRule="atLeast"/>
        </w:trPr>
        <w:tc>
          <w:tcPr>
            <w:tcW w:w="691" w:type="dxa"/>
            <w:tcBorders>
              <w:top w:val="nil"/>
              <w:left w:val="single" w:color="auto" w:sz="4" w:space="0"/>
              <w:bottom w:val="single" w:color="auto" w:sz="4" w:space="0"/>
              <w:right w:val="single" w:color="auto" w:sz="4" w:space="0"/>
            </w:tcBorders>
            <w:noWrap/>
          </w:tcPr>
          <w:p w14:paraId="1D386526">
            <w:pPr>
              <w:widowControl/>
              <w:jc w:val="center"/>
              <w:rPr>
                <w:rFonts w:ascii="宋体" w:hAnsi="宋体" w:eastAsia="宋体" w:cs="宋体"/>
                <w:kern w:val="0"/>
                <w:sz w:val="18"/>
                <w:szCs w:val="18"/>
              </w:rPr>
            </w:pPr>
            <w:r>
              <w:rPr>
                <w:rFonts w:ascii="宋体" w:hAnsi="宋体" w:eastAsia="宋体" w:cs="宋体"/>
                <w:kern w:val="0"/>
                <w:sz w:val="18"/>
                <w:szCs w:val="18"/>
              </w:rPr>
              <w:t>6</w:t>
            </w:r>
          </w:p>
        </w:tc>
        <w:tc>
          <w:tcPr>
            <w:tcW w:w="946" w:type="dxa"/>
            <w:tcBorders>
              <w:top w:val="nil"/>
              <w:left w:val="nil"/>
              <w:bottom w:val="single" w:color="auto" w:sz="4" w:space="0"/>
              <w:right w:val="single" w:color="auto" w:sz="4" w:space="0"/>
            </w:tcBorders>
          </w:tcPr>
          <w:p w14:paraId="4DC4AD66">
            <w:pPr>
              <w:widowControl/>
              <w:jc w:val="center"/>
              <w:rPr>
                <w:rFonts w:ascii="宋体" w:hAnsi="宋体" w:eastAsia="宋体" w:cs="宋体"/>
                <w:kern w:val="0"/>
                <w:sz w:val="18"/>
                <w:szCs w:val="18"/>
              </w:rPr>
            </w:pPr>
            <w:r>
              <w:rPr>
                <w:rFonts w:hint="eastAsia" w:ascii="宋体" w:hAnsi="宋体" w:eastAsia="宋体" w:cs="宋体"/>
                <w:kern w:val="0"/>
                <w:sz w:val="18"/>
                <w:szCs w:val="18"/>
              </w:rPr>
              <w:t>2025年</w:t>
            </w:r>
          </w:p>
        </w:tc>
        <w:tc>
          <w:tcPr>
            <w:tcW w:w="4332" w:type="dxa"/>
            <w:tcBorders>
              <w:top w:val="nil"/>
              <w:left w:val="nil"/>
              <w:bottom w:val="single" w:color="auto" w:sz="4" w:space="0"/>
              <w:right w:val="single" w:color="auto" w:sz="4" w:space="0"/>
            </w:tcBorders>
          </w:tcPr>
          <w:p w14:paraId="6DCDCF59">
            <w:pPr>
              <w:widowControl/>
              <w:jc w:val="center"/>
              <w:rPr>
                <w:rFonts w:ascii="宋体" w:hAnsi="宋体" w:eastAsia="宋体" w:cs="宋体"/>
                <w:kern w:val="0"/>
                <w:sz w:val="18"/>
                <w:szCs w:val="18"/>
              </w:rPr>
            </w:pPr>
            <w:r>
              <w:rPr>
                <w:rFonts w:hint="eastAsia" w:ascii="宋体" w:hAnsi="宋体" w:eastAsia="宋体" w:cs="宋体"/>
                <w:kern w:val="0"/>
                <w:sz w:val="18"/>
                <w:szCs w:val="18"/>
              </w:rPr>
              <w:t>皮西那乡产业园区基础设施改造提升项目</w:t>
            </w:r>
          </w:p>
        </w:tc>
        <w:tc>
          <w:tcPr>
            <w:tcW w:w="1895" w:type="dxa"/>
            <w:tcBorders>
              <w:top w:val="nil"/>
              <w:left w:val="nil"/>
              <w:bottom w:val="single" w:color="auto" w:sz="4" w:space="0"/>
              <w:right w:val="single" w:color="auto" w:sz="4" w:space="0"/>
            </w:tcBorders>
          </w:tcPr>
          <w:p w14:paraId="3EB5C75F">
            <w:pPr>
              <w:widowControl/>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1082" w:type="dxa"/>
            <w:tcBorders>
              <w:top w:val="nil"/>
              <w:left w:val="nil"/>
              <w:bottom w:val="single" w:color="auto" w:sz="4" w:space="0"/>
              <w:right w:val="single" w:color="auto" w:sz="4" w:space="0"/>
            </w:tcBorders>
          </w:tcPr>
          <w:p w14:paraId="583B988B">
            <w:pPr>
              <w:widowControl/>
              <w:jc w:val="center"/>
              <w:rPr>
                <w:rFonts w:ascii="宋体" w:hAnsi="宋体" w:eastAsia="宋体" w:cs="宋体"/>
                <w:kern w:val="0"/>
                <w:sz w:val="18"/>
                <w:szCs w:val="18"/>
              </w:rPr>
            </w:pPr>
            <w:r>
              <w:rPr>
                <w:rFonts w:ascii="宋体" w:hAnsi="宋体" w:eastAsia="宋体" w:cs="宋体"/>
                <w:kern w:val="0"/>
                <w:sz w:val="18"/>
                <w:szCs w:val="18"/>
              </w:rPr>
              <w:t>60</w:t>
            </w:r>
          </w:p>
        </w:tc>
      </w:tr>
    </w:tbl>
    <w:p w14:paraId="19EAA425">
      <w:pPr>
        <w:pStyle w:val="4"/>
        <w:keepLines w:val="0"/>
        <w:topLinePunct/>
        <w:spacing w:before="0" w:after="0" w:line="540" w:lineRule="exact"/>
        <w:ind w:firstLine="632" w:firstLineChars="210"/>
        <w:rPr>
          <w:rFonts w:eastAsia="宋体"/>
          <w:sz w:val="30"/>
          <w:szCs w:val="30"/>
        </w:rPr>
      </w:pPr>
      <w:bookmarkStart w:id="11" w:name="_Toc237987571"/>
      <w:r>
        <w:rPr>
          <w:rFonts w:hint="eastAsia" w:eastAsia="宋体"/>
          <w:sz w:val="30"/>
          <w:szCs w:val="30"/>
        </w:rPr>
        <w:t>（五）科技与生态协同发展</w:t>
      </w:r>
      <w:bookmarkEnd w:id="11"/>
    </w:p>
    <w:p w14:paraId="4B90CF7C">
      <w:pPr>
        <w:spacing w:line="580" w:lineRule="exact"/>
        <w:ind w:firstLine="560" w:firstLineChars="200"/>
        <w:rPr>
          <w:sz w:val="28"/>
        </w:rPr>
      </w:pPr>
      <w:r>
        <w:rPr>
          <w:rFonts w:hint="eastAsia"/>
          <w:sz w:val="28"/>
        </w:rPr>
        <w:t>瓜蒌基地全面采用滴灌与智能水肥系统，应对皮山干旱条件；防风林与地膜覆盖技术降低风沙损害。防灾减灾与生态治理能力持续提升，2025年实施人工影响天气设备提升项目，同步推进农村环保基础设施建设，实施排水管网建设项目，有效提升农村生活污水收集处理能力，改善农村人居环境。</w:t>
      </w:r>
    </w:p>
    <w:p w14:paraId="192DACC8">
      <w:pPr>
        <w:spacing w:line="580" w:lineRule="exact"/>
        <w:ind w:firstLine="562" w:firstLineChars="200"/>
        <w:jc w:val="center"/>
        <w:rPr>
          <w:b/>
          <w:sz w:val="28"/>
        </w:rPr>
      </w:pPr>
    </w:p>
    <w:p w14:paraId="0C4B5D7F">
      <w:pPr>
        <w:spacing w:line="580" w:lineRule="exact"/>
        <w:ind w:firstLine="562" w:firstLineChars="200"/>
        <w:jc w:val="center"/>
        <w:rPr>
          <w:b/>
          <w:sz w:val="28"/>
        </w:rPr>
      </w:pPr>
      <w:r>
        <w:rPr>
          <w:rFonts w:hint="eastAsia"/>
          <w:b/>
          <w:sz w:val="28"/>
        </w:rPr>
        <w:t>表1-7</w:t>
      </w:r>
      <w:r>
        <w:rPr>
          <w:b/>
          <w:sz w:val="28"/>
        </w:rPr>
        <w:t xml:space="preserve"> </w:t>
      </w:r>
      <w:r>
        <w:rPr>
          <w:rFonts w:hint="eastAsia"/>
          <w:b/>
          <w:sz w:val="28"/>
        </w:rPr>
        <w:t>皮山县“十四五”期间完成科技生态项目统计表</w:t>
      </w:r>
    </w:p>
    <w:tbl>
      <w:tblPr>
        <w:tblStyle w:val="25"/>
        <w:tblW w:w="8946" w:type="dxa"/>
        <w:tblInd w:w="0" w:type="dxa"/>
        <w:tblLayout w:type="fixed"/>
        <w:tblCellMar>
          <w:top w:w="0" w:type="dxa"/>
          <w:left w:w="108" w:type="dxa"/>
          <w:bottom w:w="0" w:type="dxa"/>
          <w:right w:w="108" w:type="dxa"/>
        </w:tblCellMar>
      </w:tblPr>
      <w:tblGrid>
        <w:gridCol w:w="936"/>
        <w:gridCol w:w="1013"/>
        <w:gridCol w:w="4698"/>
        <w:gridCol w:w="1354"/>
        <w:gridCol w:w="945"/>
      </w:tblGrid>
      <w:tr w14:paraId="20571FFD">
        <w:tblPrEx>
          <w:tblCellMar>
            <w:top w:w="0" w:type="dxa"/>
            <w:left w:w="108" w:type="dxa"/>
            <w:bottom w:w="0" w:type="dxa"/>
            <w:right w:w="108" w:type="dxa"/>
          </w:tblCellMar>
        </w:tblPrEx>
        <w:trPr>
          <w:trHeight w:val="404" w:hRule="atLeast"/>
        </w:trPr>
        <w:tc>
          <w:tcPr>
            <w:tcW w:w="936" w:type="dxa"/>
            <w:tcBorders>
              <w:top w:val="single" w:color="auto" w:sz="4" w:space="0"/>
              <w:left w:val="single" w:color="auto" w:sz="4" w:space="0"/>
              <w:bottom w:val="single" w:color="auto" w:sz="4" w:space="0"/>
              <w:right w:val="single" w:color="auto" w:sz="4" w:space="0"/>
            </w:tcBorders>
            <w:vAlign w:val="center"/>
          </w:tcPr>
          <w:p w14:paraId="2CB8C5F1">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1013" w:type="dxa"/>
            <w:tcBorders>
              <w:top w:val="single" w:color="auto" w:sz="4" w:space="0"/>
              <w:left w:val="nil"/>
              <w:bottom w:val="single" w:color="auto" w:sz="4" w:space="0"/>
              <w:right w:val="single" w:color="auto" w:sz="4" w:space="0"/>
            </w:tcBorders>
            <w:vAlign w:val="center"/>
          </w:tcPr>
          <w:p w14:paraId="0E8A85A0">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年度</w:t>
            </w:r>
          </w:p>
        </w:tc>
        <w:tc>
          <w:tcPr>
            <w:tcW w:w="4698" w:type="dxa"/>
            <w:tcBorders>
              <w:top w:val="single" w:color="auto" w:sz="4" w:space="0"/>
              <w:left w:val="nil"/>
              <w:bottom w:val="single" w:color="auto" w:sz="4" w:space="0"/>
              <w:right w:val="single" w:color="auto" w:sz="4" w:space="0"/>
            </w:tcBorders>
            <w:vAlign w:val="center"/>
          </w:tcPr>
          <w:p w14:paraId="738E9EC2">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项目名称</w:t>
            </w:r>
          </w:p>
        </w:tc>
        <w:tc>
          <w:tcPr>
            <w:tcW w:w="1354" w:type="dxa"/>
            <w:tcBorders>
              <w:top w:val="single" w:color="auto" w:sz="4" w:space="0"/>
              <w:left w:val="nil"/>
              <w:bottom w:val="single" w:color="auto" w:sz="4" w:space="0"/>
              <w:right w:val="single" w:color="auto" w:sz="4" w:space="0"/>
            </w:tcBorders>
            <w:vAlign w:val="center"/>
          </w:tcPr>
          <w:p w14:paraId="1E81129E">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资金来源</w:t>
            </w:r>
          </w:p>
        </w:tc>
        <w:tc>
          <w:tcPr>
            <w:tcW w:w="945" w:type="dxa"/>
            <w:tcBorders>
              <w:top w:val="single" w:color="auto" w:sz="4" w:space="0"/>
              <w:left w:val="nil"/>
              <w:bottom w:val="single" w:color="auto" w:sz="4" w:space="0"/>
              <w:right w:val="single" w:color="auto" w:sz="4" w:space="0"/>
            </w:tcBorders>
            <w:vAlign w:val="center"/>
          </w:tcPr>
          <w:p w14:paraId="0B35AC81">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总投资（万元）</w:t>
            </w:r>
          </w:p>
        </w:tc>
      </w:tr>
      <w:tr w14:paraId="72D5E351">
        <w:tblPrEx>
          <w:tblCellMar>
            <w:top w:w="0" w:type="dxa"/>
            <w:left w:w="108" w:type="dxa"/>
            <w:bottom w:w="0" w:type="dxa"/>
            <w:right w:w="108" w:type="dxa"/>
          </w:tblCellMar>
        </w:tblPrEx>
        <w:trPr>
          <w:trHeight w:val="70" w:hRule="atLeast"/>
        </w:trPr>
        <w:tc>
          <w:tcPr>
            <w:tcW w:w="6647" w:type="dxa"/>
            <w:gridSpan w:val="3"/>
            <w:tcBorders>
              <w:top w:val="single" w:color="auto" w:sz="4" w:space="0"/>
              <w:left w:val="single" w:color="auto" w:sz="4" w:space="0"/>
              <w:bottom w:val="single" w:color="auto" w:sz="4" w:space="0"/>
              <w:right w:val="single" w:color="auto" w:sz="4" w:space="0"/>
            </w:tcBorders>
            <w:vAlign w:val="center"/>
          </w:tcPr>
          <w:p w14:paraId="24A108AF">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合计：</w:t>
            </w:r>
            <w:r>
              <w:rPr>
                <w:rFonts w:ascii="宋体" w:hAnsi="宋体" w:eastAsia="宋体" w:cs="宋体"/>
                <w:b/>
                <w:bCs/>
                <w:kern w:val="0"/>
                <w:sz w:val="18"/>
                <w:szCs w:val="18"/>
              </w:rPr>
              <w:t>5</w:t>
            </w:r>
            <w:r>
              <w:rPr>
                <w:rFonts w:hint="eastAsia" w:ascii="宋体" w:hAnsi="宋体" w:eastAsia="宋体" w:cs="宋体"/>
                <w:b/>
                <w:bCs/>
                <w:kern w:val="0"/>
                <w:sz w:val="18"/>
                <w:szCs w:val="18"/>
              </w:rPr>
              <w:t>个项目</w:t>
            </w:r>
          </w:p>
        </w:tc>
        <w:tc>
          <w:tcPr>
            <w:tcW w:w="2299" w:type="dxa"/>
            <w:gridSpan w:val="2"/>
            <w:tcBorders>
              <w:top w:val="single" w:color="auto" w:sz="4" w:space="0"/>
              <w:left w:val="nil"/>
              <w:bottom w:val="single" w:color="auto" w:sz="4" w:space="0"/>
              <w:right w:val="single" w:color="auto" w:sz="4" w:space="0"/>
            </w:tcBorders>
            <w:vAlign w:val="center"/>
          </w:tcPr>
          <w:p w14:paraId="4915D77E">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合计：</w:t>
            </w:r>
            <w:r>
              <w:rPr>
                <w:rFonts w:ascii="宋体" w:hAnsi="宋体" w:eastAsia="宋体" w:cs="宋体"/>
                <w:b/>
                <w:bCs/>
                <w:kern w:val="0"/>
                <w:sz w:val="18"/>
                <w:szCs w:val="18"/>
              </w:rPr>
              <w:t>7001.27</w:t>
            </w:r>
          </w:p>
        </w:tc>
      </w:tr>
      <w:tr w14:paraId="09118EC7">
        <w:tblPrEx>
          <w:tblCellMar>
            <w:top w:w="0" w:type="dxa"/>
            <w:left w:w="108" w:type="dxa"/>
            <w:bottom w:w="0" w:type="dxa"/>
            <w:right w:w="108" w:type="dxa"/>
          </w:tblCellMar>
        </w:tblPrEx>
        <w:trPr>
          <w:trHeight w:val="475" w:hRule="atLeast"/>
        </w:trPr>
        <w:tc>
          <w:tcPr>
            <w:tcW w:w="936" w:type="dxa"/>
            <w:tcBorders>
              <w:top w:val="single" w:color="auto" w:sz="4" w:space="0"/>
              <w:left w:val="single" w:color="auto" w:sz="4" w:space="0"/>
              <w:bottom w:val="single" w:color="auto" w:sz="4" w:space="0"/>
              <w:right w:val="single" w:color="auto" w:sz="4" w:space="0"/>
            </w:tcBorders>
            <w:noWrap/>
            <w:vAlign w:val="center"/>
          </w:tcPr>
          <w:p w14:paraId="56F49A20">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013" w:type="dxa"/>
            <w:tcBorders>
              <w:top w:val="single" w:color="auto" w:sz="4" w:space="0"/>
              <w:left w:val="nil"/>
              <w:bottom w:val="single" w:color="auto" w:sz="4" w:space="0"/>
              <w:right w:val="single" w:color="auto" w:sz="4" w:space="0"/>
            </w:tcBorders>
            <w:vAlign w:val="center"/>
          </w:tcPr>
          <w:p w14:paraId="1D207C50">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2023年</w:t>
            </w:r>
          </w:p>
        </w:tc>
        <w:tc>
          <w:tcPr>
            <w:tcW w:w="4698" w:type="dxa"/>
            <w:tcBorders>
              <w:top w:val="single" w:color="auto" w:sz="4" w:space="0"/>
              <w:left w:val="nil"/>
              <w:bottom w:val="single" w:color="auto" w:sz="4" w:space="0"/>
              <w:right w:val="single" w:color="auto" w:sz="4" w:space="0"/>
            </w:tcBorders>
            <w:vAlign w:val="center"/>
          </w:tcPr>
          <w:p w14:paraId="0FCEA3E9">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皮山县皮亚勒玛乡石榴数字农业示范建设项目</w:t>
            </w:r>
          </w:p>
        </w:tc>
        <w:tc>
          <w:tcPr>
            <w:tcW w:w="1354" w:type="dxa"/>
            <w:tcBorders>
              <w:top w:val="single" w:color="auto" w:sz="4" w:space="0"/>
              <w:left w:val="nil"/>
              <w:bottom w:val="single" w:color="auto" w:sz="4" w:space="0"/>
              <w:right w:val="single" w:color="auto" w:sz="4" w:space="0"/>
            </w:tcBorders>
            <w:vAlign w:val="center"/>
          </w:tcPr>
          <w:p w14:paraId="6B29EBED">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45" w:type="dxa"/>
            <w:tcBorders>
              <w:top w:val="single" w:color="auto" w:sz="4" w:space="0"/>
              <w:left w:val="nil"/>
              <w:bottom w:val="single" w:color="auto" w:sz="4" w:space="0"/>
              <w:right w:val="single" w:color="auto" w:sz="4" w:space="0"/>
            </w:tcBorders>
            <w:vAlign w:val="center"/>
          </w:tcPr>
          <w:p w14:paraId="511A3B2F">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300</w:t>
            </w:r>
          </w:p>
        </w:tc>
      </w:tr>
      <w:tr w14:paraId="13514564">
        <w:tblPrEx>
          <w:tblCellMar>
            <w:top w:w="0" w:type="dxa"/>
            <w:left w:w="108" w:type="dxa"/>
            <w:bottom w:w="0" w:type="dxa"/>
            <w:right w:w="108" w:type="dxa"/>
          </w:tblCellMar>
        </w:tblPrEx>
        <w:trPr>
          <w:trHeight w:val="475" w:hRule="atLeast"/>
        </w:trPr>
        <w:tc>
          <w:tcPr>
            <w:tcW w:w="936" w:type="dxa"/>
            <w:tcBorders>
              <w:top w:val="single" w:color="auto" w:sz="4" w:space="0"/>
              <w:left w:val="single" w:color="auto" w:sz="4" w:space="0"/>
              <w:bottom w:val="single" w:color="auto" w:sz="4" w:space="0"/>
              <w:right w:val="single" w:color="auto" w:sz="4" w:space="0"/>
            </w:tcBorders>
            <w:noWrap/>
            <w:vAlign w:val="center"/>
          </w:tcPr>
          <w:p w14:paraId="1EB1441B">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2</w:t>
            </w:r>
          </w:p>
        </w:tc>
        <w:tc>
          <w:tcPr>
            <w:tcW w:w="1013" w:type="dxa"/>
            <w:tcBorders>
              <w:top w:val="single" w:color="auto" w:sz="4" w:space="0"/>
              <w:left w:val="nil"/>
              <w:bottom w:val="single" w:color="auto" w:sz="4" w:space="0"/>
              <w:right w:val="single" w:color="auto" w:sz="4" w:space="0"/>
            </w:tcBorders>
            <w:vAlign w:val="center"/>
          </w:tcPr>
          <w:p w14:paraId="61B7C1B2">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2025年</w:t>
            </w:r>
          </w:p>
        </w:tc>
        <w:tc>
          <w:tcPr>
            <w:tcW w:w="4698" w:type="dxa"/>
            <w:tcBorders>
              <w:top w:val="single" w:color="auto" w:sz="4" w:space="0"/>
              <w:left w:val="nil"/>
              <w:bottom w:val="single" w:color="auto" w:sz="4" w:space="0"/>
              <w:right w:val="single" w:color="auto" w:sz="4" w:space="0"/>
            </w:tcBorders>
            <w:vAlign w:val="center"/>
          </w:tcPr>
          <w:p w14:paraId="13EA0876">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皮山县乡村振兴补助项目——皮山县人工影响天气设备提升采购项目</w:t>
            </w:r>
          </w:p>
        </w:tc>
        <w:tc>
          <w:tcPr>
            <w:tcW w:w="1354" w:type="dxa"/>
            <w:tcBorders>
              <w:top w:val="single" w:color="auto" w:sz="4" w:space="0"/>
              <w:left w:val="nil"/>
              <w:bottom w:val="single" w:color="auto" w:sz="4" w:space="0"/>
              <w:right w:val="single" w:color="auto" w:sz="4" w:space="0"/>
            </w:tcBorders>
            <w:vAlign w:val="center"/>
          </w:tcPr>
          <w:p w14:paraId="2E101783">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衔接资金</w:t>
            </w:r>
          </w:p>
        </w:tc>
        <w:tc>
          <w:tcPr>
            <w:tcW w:w="945" w:type="dxa"/>
            <w:tcBorders>
              <w:top w:val="single" w:color="auto" w:sz="4" w:space="0"/>
              <w:left w:val="nil"/>
              <w:bottom w:val="single" w:color="auto" w:sz="4" w:space="0"/>
              <w:right w:val="single" w:color="auto" w:sz="4" w:space="0"/>
            </w:tcBorders>
            <w:vAlign w:val="center"/>
          </w:tcPr>
          <w:p w14:paraId="1DCC4A5A">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130</w:t>
            </w:r>
          </w:p>
        </w:tc>
      </w:tr>
      <w:tr w14:paraId="795577C9">
        <w:tblPrEx>
          <w:tblCellMar>
            <w:top w:w="0" w:type="dxa"/>
            <w:left w:w="108" w:type="dxa"/>
            <w:bottom w:w="0" w:type="dxa"/>
            <w:right w:w="108" w:type="dxa"/>
          </w:tblCellMar>
        </w:tblPrEx>
        <w:trPr>
          <w:trHeight w:val="475" w:hRule="atLeast"/>
        </w:trPr>
        <w:tc>
          <w:tcPr>
            <w:tcW w:w="936" w:type="dxa"/>
            <w:tcBorders>
              <w:top w:val="single" w:color="auto" w:sz="4" w:space="0"/>
              <w:left w:val="single" w:color="auto" w:sz="4" w:space="0"/>
              <w:bottom w:val="single" w:color="auto" w:sz="4" w:space="0"/>
              <w:right w:val="single" w:color="auto" w:sz="4" w:space="0"/>
            </w:tcBorders>
            <w:noWrap/>
            <w:vAlign w:val="center"/>
          </w:tcPr>
          <w:p w14:paraId="640FB6D4">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3</w:t>
            </w:r>
          </w:p>
        </w:tc>
        <w:tc>
          <w:tcPr>
            <w:tcW w:w="1013" w:type="dxa"/>
            <w:tcBorders>
              <w:top w:val="single" w:color="auto" w:sz="4" w:space="0"/>
              <w:left w:val="nil"/>
              <w:bottom w:val="single" w:color="auto" w:sz="4" w:space="0"/>
              <w:right w:val="single" w:color="auto" w:sz="4" w:space="0"/>
            </w:tcBorders>
            <w:vAlign w:val="center"/>
          </w:tcPr>
          <w:p w14:paraId="163E42D2">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2025年</w:t>
            </w:r>
          </w:p>
        </w:tc>
        <w:tc>
          <w:tcPr>
            <w:tcW w:w="4698" w:type="dxa"/>
            <w:tcBorders>
              <w:top w:val="single" w:color="auto" w:sz="4" w:space="0"/>
              <w:left w:val="nil"/>
              <w:bottom w:val="single" w:color="auto" w:sz="4" w:space="0"/>
              <w:right w:val="single" w:color="auto" w:sz="4" w:space="0"/>
            </w:tcBorders>
            <w:vAlign w:val="center"/>
          </w:tcPr>
          <w:p w14:paraId="02BA228F">
            <w:pPr>
              <w:widowControl/>
              <w:spacing w:line="0" w:lineRule="atLeast"/>
              <w:jc w:val="center"/>
              <w:rPr>
                <w:rFonts w:ascii="宋体" w:hAnsi="宋体" w:eastAsia="宋体" w:cs="宋体"/>
                <w:kern w:val="0"/>
                <w:sz w:val="18"/>
                <w:szCs w:val="18"/>
              </w:rPr>
            </w:pPr>
            <w:r>
              <w:rPr>
                <w:rFonts w:hint="eastAsia" w:ascii="宋体" w:hAnsi="宋体" w:eastAsia="宋体" w:cs="宋体"/>
                <w:kern w:val="0"/>
                <w:sz w:val="18"/>
                <w:szCs w:val="18"/>
              </w:rPr>
              <w:t>皮山县2025年排水管网建设项目</w:t>
            </w:r>
          </w:p>
        </w:tc>
        <w:tc>
          <w:tcPr>
            <w:tcW w:w="1354" w:type="dxa"/>
            <w:tcBorders>
              <w:top w:val="single" w:color="auto" w:sz="4" w:space="0"/>
              <w:left w:val="nil"/>
              <w:bottom w:val="single" w:color="auto" w:sz="4" w:space="0"/>
              <w:right w:val="single" w:color="auto" w:sz="4" w:space="0"/>
            </w:tcBorders>
            <w:vAlign w:val="center"/>
          </w:tcPr>
          <w:p w14:paraId="485DDB32">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专项债券资金、其他资金</w:t>
            </w:r>
          </w:p>
        </w:tc>
        <w:tc>
          <w:tcPr>
            <w:tcW w:w="945" w:type="dxa"/>
            <w:tcBorders>
              <w:top w:val="single" w:color="auto" w:sz="4" w:space="0"/>
              <w:left w:val="nil"/>
              <w:bottom w:val="single" w:color="auto" w:sz="4" w:space="0"/>
              <w:right w:val="single" w:color="auto" w:sz="4" w:space="0"/>
            </w:tcBorders>
            <w:vAlign w:val="center"/>
          </w:tcPr>
          <w:p w14:paraId="07868E6E">
            <w:pPr>
              <w:widowControl/>
              <w:spacing w:line="0" w:lineRule="atLeast"/>
              <w:jc w:val="center"/>
              <w:rPr>
                <w:rFonts w:ascii="宋体" w:hAnsi="宋体" w:eastAsia="宋体" w:cs="宋体"/>
                <w:kern w:val="0"/>
                <w:sz w:val="18"/>
                <w:szCs w:val="18"/>
              </w:rPr>
            </w:pPr>
            <w:r>
              <w:rPr>
                <w:rFonts w:ascii="宋体" w:hAnsi="宋体" w:eastAsia="宋体" w:cs="宋体"/>
                <w:kern w:val="0"/>
                <w:sz w:val="18"/>
                <w:szCs w:val="18"/>
              </w:rPr>
              <w:t>5000</w:t>
            </w:r>
          </w:p>
        </w:tc>
      </w:tr>
      <w:tr w14:paraId="10F8BD9D">
        <w:tblPrEx>
          <w:tblCellMar>
            <w:top w:w="0" w:type="dxa"/>
            <w:left w:w="108" w:type="dxa"/>
            <w:bottom w:w="0" w:type="dxa"/>
            <w:right w:w="108" w:type="dxa"/>
          </w:tblCellMar>
        </w:tblPrEx>
        <w:trPr>
          <w:trHeight w:val="475" w:hRule="atLeast"/>
        </w:trPr>
        <w:tc>
          <w:tcPr>
            <w:tcW w:w="936" w:type="dxa"/>
            <w:tcBorders>
              <w:top w:val="single" w:color="auto" w:sz="4" w:space="0"/>
              <w:left w:val="single" w:color="auto" w:sz="4" w:space="0"/>
              <w:bottom w:val="single" w:color="auto" w:sz="4" w:space="0"/>
              <w:right w:val="single" w:color="auto" w:sz="4" w:space="0"/>
            </w:tcBorders>
            <w:noWrap/>
            <w:vAlign w:val="center"/>
          </w:tcPr>
          <w:p w14:paraId="35638809">
            <w:pPr>
              <w:widowControl/>
              <w:spacing w:line="0" w:lineRule="atLeast"/>
              <w:jc w:val="center"/>
              <w:rPr>
                <w:rFonts w:ascii="宋体" w:hAnsi="宋体" w:eastAsia="宋体" w:cs="宋体"/>
                <w:kern w:val="0"/>
                <w:sz w:val="18"/>
                <w:szCs w:val="18"/>
              </w:rPr>
            </w:pPr>
            <w:r>
              <w:rPr>
                <w:rFonts w:ascii="宋体" w:hAnsi="宋体" w:eastAsia="宋体" w:cs="宋体"/>
                <w:bCs/>
                <w:kern w:val="0"/>
                <w:sz w:val="18"/>
                <w:szCs w:val="18"/>
              </w:rPr>
              <w:t>4</w:t>
            </w:r>
          </w:p>
        </w:tc>
        <w:tc>
          <w:tcPr>
            <w:tcW w:w="1013" w:type="dxa"/>
            <w:tcBorders>
              <w:top w:val="single" w:color="auto" w:sz="4" w:space="0"/>
              <w:left w:val="nil"/>
              <w:bottom w:val="single" w:color="auto" w:sz="4" w:space="0"/>
              <w:right w:val="single" w:color="auto" w:sz="4" w:space="0"/>
            </w:tcBorders>
            <w:vAlign w:val="center"/>
          </w:tcPr>
          <w:p w14:paraId="6BBDC6CA">
            <w:pPr>
              <w:widowControl/>
              <w:spacing w:line="0" w:lineRule="atLeast"/>
              <w:jc w:val="center"/>
              <w:rPr>
                <w:rFonts w:ascii="宋体" w:hAnsi="宋体" w:eastAsia="宋体" w:cs="宋体"/>
                <w:kern w:val="0"/>
                <w:sz w:val="18"/>
                <w:szCs w:val="18"/>
              </w:rPr>
            </w:pPr>
            <w:r>
              <w:rPr>
                <w:rFonts w:hint="eastAsia" w:ascii="宋体" w:hAnsi="宋体" w:eastAsia="宋体" w:cs="宋体"/>
                <w:bCs/>
                <w:kern w:val="0"/>
                <w:sz w:val="18"/>
                <w:szCs w:val="18"/>
              </w:rPr>
              <w:t>2025年</w:t>
            </w:r>
          </w:p>
        </w:tc>
        <w:tc>
          <w:tcPr>
            <w:tcW w:w="4698" w:type="dxa"/>
            <w:tcBorders>
              <w:top w:val="single" w:color="auto" w:sz="4" w:space="0"/>
              <w:left w:val="nil"/>
              <w:bottom w:val="single" w:color="auto" w:sz="4" w:space="0"/>
              <w:right w:val="single" w:color="auto" w:sz="4" w:space="0"/>
            </w:tcBorders>
            <w:vAlign w:val="center"/>
          </w:tcPr>
          <w:p w14:paraId="0CBA8526">
            <w:pPr>
              <w:widowControl/>
              <w:spacing w:line="0" w:lineRule="atLeast"/>
              <w:jc w:val="center"/>
              <w:rPr>
                <w:rFonts w:ascii="宋体" w:hAnsi="宋体" w:eastAsia="宋体" w:cs="宋体"/>
                <w:kern w:val="0"/>
                <w:sz w:val="18"/>
                <w:szCs w:val="18"/>
              </w:rPr>
            </w:pPr>
            <w:r>
              <w:rPr>
                <w:rFonts w:hint="eastAsia" w:ascii="宋体" w:hAnsi="宋体" w:eastAsia="宋体" w:cs="宋体"/>
                <w:bCs/>
                <w:kern w:val="0"/>
                <w:sz w:val="18"/>
                <w:szCs w:val="18"/>
              </w:rPr>
              <w:t>皮山县科克铁热克镇2025年沙产业基础设施配套项目</w:t>
            </w:r>
          </w:p>
        </w:tc>
        <w:tc>
          <w:tcPr>
            <w:tcW w:w="1354" w:type="dxa"/>
            <w:tcBorders>
              <w:top w:val="single" w:color="auto" w:sz="4" w:space="0"/>
              <w:left w:val="nil"/>
              <w:bottom w:val="single" w:color="auto" w:sz="4" w:space="0"/>
              <w:right w:val="single" w:color="auto" w:sz="4" w:space="0"/>
            </w:tcBorders>
            <w:vAlign w:val="center"/>
          </w:tcPr>
          <w:p w14:paraId="5382D54F">
            <w:pPr>
              <w:widowControl/>
              <w:spacing w:line="0" w:lineRule="atLeast"/>
              <w:jc w:val="center"/>
              <w:rPr>
                <w:rFonts w:ascii="宋体" w:hAnsi="宋体" w:eastAsia="宋体" w:cs="宋体"/>
                <w:kern w:val="0"/>
                <w:sz w:val="18"/>
                <w:szCs w:val="18"/>
              </w:rPr>
            </w:pPr>
            <w:r>
              <w:rPr>
                <w:rFonts w:hint="eastAsia" w:ascii="宋体" w:hAnsi="宋体" w:eastAsia="宋体" w:cs="宋体"/>
                <w:bCs/>
                <w:kern w:val="0"/>
                <w:sz w:val="18"/>
                <w:szCs w:val="18"/>
              </w:rPr>
              <w:t>衔接资金</w:t>
            </w:r>
          </w:p>
        </w:tc>
        <w:tc>
          <w:tcPr>
            <w:tcW w:w="945" w:type="dxa"/>
            <w:tcBorders>
              <w:top w:val="single" w:color="auto" w:sz="4" w:space="0"/>
              <w:left w:val="nil"/>
              <w:bottom w:val="single" w:color="auto" w:sz="4" w:space="0"/>
              <w:right w:val="single" w:color="auto" w:sz="4" w:space="0"/>
            </w:tcBorders>
            <w:vAlign w:val="center"/>
          </w:tcPr>
          <w:p w14:paraId="2ED5D631">
            <w:pPr>
              <w:widowControl/>
              <w:spacing w:line="0" w:lineRule="atLeast"/>
              <w:jc w:val="center"/>
              <w:rPr>
                <w:rFonts w:ascii="宋体" w:hAnsi="宋体" w:eastAsia="宋体" w:cs="宋体"/>
                <w:kern w:val="0"/>
                <w:sz w:val="18"/>
                <w:szCs w:val="18"/>
              </w:rPr>
            </w:pPr>
            <w:r>
              <w:rPr>
                <w:rFonts w:ascii="宋体" w:hAnsi="宋体" w:eastAsia="宋体" w:cs="宋体"/>
                <w:bCs/>
                <w:kern w:val="0"/>
                <w:sz w:val="18"/>
                <w:szCs w:val="18"/>
              </w:rPr>
              <w:t>1019.48</w:t>
            </w:r>
          </w:p>
        </w:tc>
      </w:tr>
      <w:tr w14:paraId="5FC106B6">
        <w:tblPrEx>
          <w:tblCellMar>
            <w:top w:w="0" w:type="dxa"/>
            <w:left w:w="108" w:type="dxa"/>
            <w:bottom w:w="0" w:type="dxa"/>
            <w:right w:w="108" w:type="dxa"/>
          </w:tblCellMar>
        </w:tblPrEx>
        <w:trPr>
          <w:trHeight w:val="475" w:hRule="atLeast"/>
        </w:trPr>
        <w:tc>
          <w:tcPr>
            <w:tcW w:w="936" w:type="dxa"/>
            <w:tcBorders>
              <w:top w:val="single" w:color="auto" w:sz="4" w:space="0"/>
              <w:left w:val="single" w:color="auto" w:sz="4" w:space="0"/>
              <w:bottom w:val="single" w:color="auto" w:sz="4" w:space="0"/>
              <w:right w:val="single" w:color="auto" w:sz="4" w:space="0"/>
            </w:tcBorders>
            <w:noWrap/>
            <w:vAlign w:val="center"/>
          </w:tcPr>
          <w:p w14:paraId="3814C309">
            <w:pPr>
              <w:widowControl/>
              <w:spacing w:line="0" w:lineRule="atLeast"/>
              <w:jc w:val="center"/>
              <w:rPr>
                <w:rFonts w:ascii="宋体" w:hAnsi="宋体" w:eastAsia="宋体" w:cs="宋体"/>
                <w:kern w:val="0"/>
                <w:sz w:val="18"/>
                <w:szCs w:val="18"/>
              </w:rPr>
            </w:pPr>
            <w:r>
              <w:rPr>
                <w:rFonts w:ascii="宋体" w:hAnsi="宋体" w:eastAsia="宋体" w:cs="宋体"/>
                <w:bCs/>
                <w:kern w:val="0"/>
                <w:sz w:val="18"/>
                <w:szCs w:val="18"/>
              </w:rPr>
              <w:t>5</w:t>
            </w:r>
          </w:p>
        </w:tc>
        <w:tc>
          <w:tcPr>
            <w:tcW w:w="1013" w:type="dxa"/>
            <w:tcBorders>
              <w:top w:val="single" w:color="auto" w:sz="4" w:space="0"/>
              <w:left w:val="nil"/>
              <w:bottom w:val="single" w:color="auto" w:sz="4" w:space="0"/>
              <w:right w:val="single" w:color="auto" w:sz="4" w:space="0"/>
            </w:tcBorders>
            <w:vAlign w:val="center"/>
          </w:tcPr>
          <w:p w14:paraId="56D96981">
            <w:pPr>
              <w:widowControl/>
              <w:spacing w:line="0" w:lineRule="atLeast"/>
              <w:jc w:val="center"/>
              <w:rPr>
                <w:rFonts w:ascii="宋体" w:hAnsi="宋体" w:eastAsia="宋体" w:cs="宋体"/>
                <w:kern w:val="0"/>
                <w:sz w:val="18"/>
                <w:szCs w:val="18"/>
              </w:rPr>
            </w:pPr>
            <w:r>
              <w:rPr>
                <w:rFonts w:hint="eastAsia" w:ascii="宋体" w:hAnsi="宋体" w:eastAsia="宋体" w:cs="宋体"/>
                <w:bCs/>
                <w:kern w:val="0"/>
                <w:sz w:val="18"/>
                <w:szCs w:val="18"/>
              </w:rPr>
              <w:t>2025年</w:t>
            </w:r>
          </w:p>
        </w:tc>
        <w:tc>
          <w:tcPr>
            <w:tcW w:w="4698" w:type="dxa"/>
            <w:tcBorders>
              <w:top w:val="single" w:color="auto" w:sz="4" w:space="0"/>
              <w:left w:val="nil"/>
              <w:bottom w:val="single" w:color="auto" w:sz="4" w:space="0"/>
              <w:right w:val="single" w:color="auto" w:sz="4" w:space="0"/>
            </w:tcBorders>
            <w:vAlign w:val="center"/>
          </w:tcPr>
          <w:p w14:paraId="567E4A49">
            <w:pPr>
              <w:widowControl/>
              <w:spacing w:line="0" w:lineRule="atLeast"/>
              <w:jc w:val="center"/>
              <w:rPr>
                <w:rFonts w:ascii="宋体" w:hAnsi="宋体" w:eastAsia="宋体" w:cs="宋体"/>
                <w:kern w:val="0"/>
                <w:sz w:val="18"/>
                <w:szCs w:val="18"/>
              </w:rPr>
            </w:pPr>
            <w:r>
              <w:rPr>
                <w:rFonts w:hint="eastAsia" w:ascii="宋体" w:hAnsi="宋体" w:eastAsia="宋体" w:cs="宋体"/>
                <w:bCs/>
                <w:kern w:val="0"/>
                <w:sz w:val="18"/>
                <w:szCs w:val="18"/>
              </w:rPr>
              <w:t>皮山县木奎拉乡2025年沙产业基础设施配套项目</w:t>
            </w:r>
          </w:p>
        </w:tc>
        <w:tc>
          <w:tcPr>
            <w:tcW w:w="1354" w:type="dxa"/>
            <w:tcBorders>
              <w:top w:val="single" w:color="auto" w:sz="4" w:space="0"/>
              <w:left w:val="nil"/>
              <w:bottom w:val="single" w:color="auto" w:sz="4" w:space="0"/>
              <w:right w:val="single" w:color="auto" w:sz="4" w:space="0"/>
            </w:tcBorders>
            <w:vAlign w:val="center"/>
          </w:tcPr>
          <w:p w14:paraId="2780B9C3">
            <w:pPr>
              <w:widowControl/>
              <w:spacing w:line="0" w:lineRule="atLeast"/>
              <w:jc w:val="center"/>
              <w:rPr>
                <w:rFonts w:ascii="宋体" w:hAnsi="宋体" w:eastAsia="宋体" w:cs="宋体"/>
                <w:kern w:val="0"/>
                <w:sz w:val="18"/>
                <w:szCs w:val="18"/>
              </w:rPr>
            </w:pPr>
            <w:r>
              <w:rPr>
                <w:rFonts w:hint="eastAsia" w:ascii="宋体" w:hAnsi="宋体" w:eastAsia="宋体" w:cs="宋体"/>
                <w:bCs/>
                <w:kern w:val="0"/>
                <w:sz w:val="18"/>
                <w:szCs w:val="18"/>
              </w:rPr>
              <w:t>衔接资金</w:t>
            </w:r>
          </w:p>
        </w:tc>
        <w:tc>
          <w:tcPr>
            <w:tcW w:w="945" w:type="dxa"/>
            <w:tcBorders>
              <w:top w:val="single" w:color="auto" w:sz="4" w:space="0"/>
              <w:left w:val="nil"/>
              <w:bottom w:val="single" w:color="auto" w:sz="4" w:space="0"/>
              <w:right w:val="single" w:color="auto" w:sz="4" w:space="0"/>
            </w:tcBorders>
            <w:vAlign w:val="center"/>
          </w:tcPr>
          <w:p w14:paraId="763A05FD">
            <w:pPr>
              <w:widowControl/>
              <w:spacing w:line="0" w:lineRule="atLeast"/>
              <w:jc w:val="center"/>
              <w:rPr>
                <w:rFonts w:ascii="宋体" w:hAnsi="宋体" w:eastAsia="宋体" w:cs="宋体"/>
                <w:kern w:val="0"/>
                <w:sz w:val="18"/>
                <w:szCs w:val="18"/>
              </w:rPr>
            </w:pPr>
            <w:r>
              <w:rPr>
                <w:rFonts w:ascii="宋体" w:hAnsi="宋体" w:eastAsia="宋体" w:cs="宋体"/>
                <w:bCs/>
                <w:kern w:val="0"/>
                <w:sz w:val="18"/>
                <w:szCs w:val="18"/>
              </w:rPr>
              <w:t>551.79</w:t>
            </w:r>
          </w:p>
        </w:tc>
      </w:tr>
    </w:tbl>
    <w:p w14:paraId="33A99C17">
      <w:pPr>
        <w:widowControl/>
        <w:jc w:val="left"/>
        <w:rPr>
          <w:sz w:val="28"/>
        </w:rPr>
      </w:pPr>
      <w:r>
        <w:rPr>
          <w:sz w:val="28"/>
        </w:rPr>
        <w:br w:type="page"/>
      </w:r>
    </w:p>
    <w:p w14:paraId="2437DE29">
      <w:pPr>
        <w:pStyle w:val="2"/>
        <w:widowControl/>
        <w:spacing w:line="600" w:lineRule="exact"/>
        <w:jc w:val="center"/>
        <w:rPr>
          <w:rFonts w:ascii="Times New Roman" w:hAnsi="Times New Roman" w:eastAsia="宋体"/>
          <w:b/>
          <w:sz w:val="32"/>
          <w:szCs w:val="20"/>
        </w:rPr>
      </w:pPr>
      <w:bookmarkStart w:id="12" w:name="_Toc237987572"/>
      <w:r>
        <w:rPr>
          <w:rFonts w:hint="eastAsia" w:ascii="Times New Roman" w:hAnsi="Times New Roman" w:eastAsia="宋体"/>
          <w:b/>
          <w:sz w:val="32"/>
          <w:szCs w:val="20"/>
        </w:rPr>
        <w:t>第二章 “十五五”农业农村发展面临的形势</w:t>
      </w:r>
      <w:bookmarkEnd w:id="12"/>
    </w:p>
    <w:p w14:paraId="4E5E0FE7">
      <w:pPr>
        <w:pStyle w:val="3"/>
        <w:widowControl/>
        <w:spacing w:before="0" w:after="0" w:line="600" w:lineRule="exact"/>
        <w:ind w:firstLine="562" w:firstLineChars="200"/>
        <w:rPr>
          <w:rFonts w:ascii="Arial" w:hAnsi="Arial" w:eastAsia="黑体"/>
          <w:bCs w:val="0"/>
          <w:kern w:val="0"/>
          <w:sz w:val="28"/>
          <w:szCs w:val="20"/>
        </w:rPr>
      </w:pPr>
      <w:bookmarkStart w:id="13" w:name="_Toc237987573"/>
      <w:r>
        <w:rPr>
          <w:rFonts w:hint="eastAsia" w:ascii="Arial" w:hAnsi="Arial" w:eastAsia="黑体"/>
          <w:bCs w:val="0"/>
          <w:kern w:val="0"/>
          <w:sz w:val="28"/>
          <w:szCs w:val="20"/>
        </w:rPr>
        <w:t>一、新时期发展机遇</w:t>
      </w:r>
      <w:bookmarkEnd w:id="13"/>
    </w:p>
    <w:p w14:paraId="7C84F020">
      <w:pPr>
        <w:spacing w:line="580" w:lineRule="exact"/>
        <w:ind w:firstLine="560" w:firstLineChars="200"/>
        <w:rPr>
          <w:sz w:val="28"/>
        </w:rPr>
      </w:pPr>
      <w:r>
        <w:rPr>
          <w:rFonts w:hint="eastAsia"/>
          <w:sz w:val="28"/>
        </w:rPr>
        <w:t>皮山县农业、畜牧业发展面临着诸多机遇，主要体现在政策支持、品种优势、市场需求及技术进步等方面，具体如下：</w:t>
      </w:r>
    </w:p>
    <w:p w14:paraId="518BCCDD">
      <w:pPr>
        <w:pStyle w:val="4"/>
        <w:keepLines w:val="0"/>
        <w:topLinePunct/>
        <w:spacing w:before="0" w:after="0" w:line="540" w:lineRule="exact"/>
        <w:ind w:firstLine="632" w:firstLineChars="210"/>
        <w:rPr>
          <w:rFonts w:eastAsia="宋体"/>
          <w:sz w:val="30"/>
          <w:szCs w:val="30"/>
        </w:rPr>
      </w:pPr>
      <w:bookmarkStart w:id="14" w:name="_Toc237987574"/>
      <w:r>
        <w:rPr>
          <w:rFonts w:hint="eastAsia" w:eastAsia="宋体"/>
          <w:sz w:val="30"/>
          <w:szCs w:val="30"/>
        </w:rPr>
        <w:t>（一）政策扶持力度大</w:t>
      </w:r>
      <w:bookmarkEnd w:id="14"/>
    </w:p>
    <w:p w14:paraId="198B3041">
      <w:pPr>
        <w:spacing w:line="580" w:lineRule="exact"/>
        <w:ind w:firstLine="560" w:firstLineChars="200"/>
        <w:rPr>
          <w:sz w:val="28"/>
        </w:rPr>
      </w:pPr>
      <w:r>
        <w:rPr>
          <w:rFonts w:hint="eastAsia"/>
          <w:sz w:val="28"/>
        </w:rPr>
        <w:t>国家重视南疆地区的发展，“十四五”时期中央确定安徽对口支援皮山县，通过援疆资金和债券资金为当地农业、畜牧业发展带来资金支持。安徽援疆干部开展农业课题研究和技术推广，助力特色种植养殖发展。同时，地方政府围绕乡村振兴，出台了一系列扶持政策，引导农民参与育肥牛、育肥羊等养殖业，带动农户增收。相关政策有助于皮山县完善水利、交通等基础设施，为农业畜牧业发展奠定基础。</w:t>
      </w:r>
    </w:p>
    <w:p w14:paraId="7BC56792">
      <w:pPr>
        <w:pStyle w:val="4"/>
        <w:keepLines w:val="0"/>
        <w:topLinePunct/>
        <w:spacing w:before="0" w:after="0" w:line="540" w:lineRule="exact"/>
        <w:ind w:firstLine="632" w:firstLineChars="210"/>
        <w:rPr>
          <w:rFonts w:eastAsia="宋体"/>
          <w:sz w:val="30"/>
          <w:szCs w:val="30"/>
        </w:rPr>
      </w:pPr>
      <w:bookmarkStart w:id="15" w:name="_Toc237987575"/>
      <w:r>
        <w:rPr>
          <w:rFonts w:hint="eastAsia" w:eastAsia="宋体"/>
          <w:sz w:val="30"/>
          <w:szCs w:val="30"/>
        </w:rPr>
        <w:t>（二）特色品种优势凸显</w:t>
      </w:r>
      <w:bookmarkEnd w:id="15"/>
    </w:p>
    <w:p w14:paraId="63C79E59">
      <w:pPr>
        <w:spacing w:line="580" w:lineRule="exact"/>
        <w:ind w:firstLine="560" w:firstLineChars="200"/>
        <w:rPr>
          <w:sz w:val="28"/>
        </w:rPr>
      </w:pPr>
      <w:r>
        <w:rPr>
          <w:rFonts w:hint="eastAsia"/>
          <w:sz w:val="28"/>
        </w:rPr>
        <w:t>皮山红羊成功入选国家多胎绵羊基因库，其抗逆性、抗病力强，繁殖性能高，在粗放饲养条件下也能保持较高产羔率，是极具发展潜力的优良肉羊品种，为畜牧业规模化、特色化发展提供了良好基础。目前已初步形成5个中心产区，且通过“企业+合作社+养殖户+农户”模式，带动了众多农户参与养殖，产业发展前景广阔。</w:t>
      </w:r>
    </w:p>
    <w:p w14:paraId="7C78FAAE">
      <w:pPr>
        <w:pStyle w:val="4"/>
        <w:keepLines w:val="0"/>
        <w:topLinePunct/>
        <w:spacing w:before="0" w:after="0" w:line="540" w:lineRule="exact"/>
        <w:ind w:firstLine="632" w:firstLineChars="210"/>
        <w:rPr>
          <w:rFonts w:eastAsia="宋体"/>
          <w:sz w:val="30"/>
          <w:szCs w:val="30"/>
        </w:rPr>
      </w:pPr>
      <w:bookmarkStart w:id="16" w:name="_Toc237987576"/>
      <w:r>
        <w:rPr>
          <w:rFonts w:hint="eastAsia" w:eastAsia="宋体"/>
          <w:sz w:val="30"/>
          <w:szCs w:val="30"/>
        </w:rPr>
        <w:t>（三）市场需求潜力大</w:t>
      </w:r>
      <w:bookmarkEnd w:id="16"/>
    </w:p>
    <w:p w14:paraId="37057BCD">
      <w:pPr>
        <w:spacing w:line="580" w:lineRule="exact"/>
        <w:ind w:firstLine="560" w:firstLineChars="200"/>
        <w:rPr>
          <w:sz w:val="28"/>
        </w:rPr>
      </w:pPr>
      <w:r>
        <w:rPr>
          <w:rFonts w:hint="eastAsia"/>
          <w:sz w:val="28"/>
        </w:rPr>
        <w:t>随着人</w:t>
      </w:r>
      <w:r>
        <w:rPr>
          <w:rFonts w:hint="eastAsia"/>
          <w:sz w:val="28"/>
          <w:lang w:eastAsia="zh-CN"/>
        </w:rPr>
        <w:t>民</w:t>
      </w:r>
      <w:r>
        <w:rPr>
          <w:rFonts w:hint="eastAsia"/>
          <w:sz w:val="28"/>
        </w:rPr>
        <w:t>生活水平的提高，对优质农产品和畜产品的需求不断增加。皮山县的特色农产品如瓜蒌籽（富含不饱和脂肪酸）、石榴、皮山明星杏、克里阳雪菊、皮西那樱桃、科克铁热克镇葡萄等特色种植产品，以及皮山红羊、和田青驴等畜产品，具有独特品质，若能提升产业化水平，加强品牌建设，可在国内乃至国际市场占据一定份额。同时，“一带一路”建设为皮山县农产品和畜产品提供了更广阔的市场空间，便于其拓展中亚等周边国际市场。</w:t>
      </w:r>
    </w:p>
    <w:p w14:paraId="6818982B">
      <w:pPr>
        <w:pStyle w:val="4"/>
        <w:keepLines w:val="0"/>
        <w:topLinePunct/>
        <w:spacing w:before="0" w:after="0" w:line="540" w:lineRule="exact"/>
        <w:ind w:firstLine="632" w:firstLineChars="210"/>
        <w:rPr>
          <w:rFonts w:eastAsia="宋体"/>
          <w:sz w:val="30"/>
          <w:szCs w:val="30"/>
        </w:rPr>
      </w:pPr>
      <w:bookmarkStart w:id="17" w:name="_Toc237987577"/>
      <w:r>
        <w:rPr>
          <w:rFonts w:hint="eastAsia" w:eastAsia="宋体"/>
          <w:sz w:val="30"/>
          <w:szCs w:val="30"/>
        </w:rPr>
        <w:t>（四）技术进步带来发展动力</w:t>
      </w:r>
      <w:bookmarkEnd w:id="17"/>
    </w:p>
    <w:p w14:paraId="44F19BBF">
      <w:pPr>
        <w:spacing w:line="580" w:lineRule="exact"/>
        <w:ind w:firstLine="560" w:firstLineChars="200"/>
        <w:rPr>
          <w:sz w:val="28"/>
        </w:rPr>
      </w:pPr>
      <w:r>
        <w:rPr>
          <w:rFonts w:hint="eastAsia"/>
          <w:sz w:val="28"/>
        </w:rPr>
        <w:t>在畜牧业方面，皮山红羊细管冻精制作技术的推广，既能节约养殖户成本，又能避免疾病传播，有助于扩大红羊种群规模，提升养殖效益。在农业方面，工信部“数字绿洲”计划优先支持南疆，引入墒情监测+组合滴灌系统，可使农业节水率再提15-20%。援疆干部带来先进技术和管理经验，推动高效节水灌溉、特色种植技术、设施农业技术等的应用与推广，提高农业生产效率和农产品品质。中科院新疆分院“沙变土”粘结剂技术试点（成本降至800元/亩），戈壁滩瓜蒌种植成本有望压缩30%。</w:t>
      </w:r>
    </w:p>
    <w:p w14:paraId="35AE8E35">
      <w:pPr>
        <w:pStyle w:val="4"/>
        <w:keepLines w:val="0"/>
        <w:topLinePunct/>
        <w:spacing w:before="0" w:after="0" w:line="540" w:lineRule="exact"/>
        <w:ind w:firstLine="632" w:firstLineChars="210"/>
        <w:rPr>
          <w:rFonts w:eastAsia="宋体"/>
          <w:sz w:val="30"/>
          <w:szCs w:val="30"/>
        </w:rPr>
      </w:pPr>
      <w:bookmarkStart w:id="18" w:name="_Toc237987578"/>
      <w:r>
        <w:rPr>
          <w:rFonts w:hint="eastAsia" w:eastAsia="宋体"/>
          <w:sz w:val="30"/>
          <w:szCs w:val="30"/>
        </w:rPr>
        <w:t>（五）产业融合发展机遇</w:t>
      </w:r>
      <w:bookmarkEnd w:id="18"/>
    </w:p>
    <w:p w14:paraId="07906E4D">
      <w:pPr>
        <w:spacing w:line="580" w:lineRule="exact"/>
        <w:ind w:firstLine="560" w:firstLineChars="200"/>
        <w:rPr>
          <w:sz w:val="28"/>
        </w:rPr>
      </w:pPr>
      <w:r>
        <w:rPr>
          <w:rFonts w:hint="eastAsia"/>
          <w:sz w:val="28"/>
        </w:rPr>
        <w:t>乡村振兴战略推动</w:t>
      </w:r>
      <w:r>
        <w:rPr>
          <w:rFonts w:hint="eastAsia"/>
          <w:sz w:val="28"/>
          <w:lang w:eastAsia="zh-CN"/>
        </w:rPr>
        <w:t>农村地区</w:t>
      </w:r>
      <w:r>
        <w:rPr>
          <w:rFonts w:hint="eastAsia"/>
          <w:sz w:val="28"/>
        </w:rPr>
        <w:t>一</w:t>
      </w:r>
      <w:r>
        <w:rPr>
          <w:rFonts w:hint="eastAsia"/>
          <w:sz w:val="28"/>
          <w:lang w:eastAsia="zh-CN"/>
        </w:rPr>
        <w:t>、</w:t>
      </w:r>
      <w:r>
        <w:rPr>
          <w:rFonts w:hint="eastAsia"/>
          <w:sz w:val="28"/>
        </w:rPr>
        <w:t>二</w:t>
      </w:r>
      <w:r>
        <w:rPr>
          <w:rFonts w:hint="eastAsia"/>
          <w:sz w:val="28"/>
          <w:lang w:eastAsia="zh-CN"/>
        </w:rPr>
        <w:t>、</w:t>
      </w:r>
      <w:r>
        <w:rPr>
          <w:rFonts w:hint="eastAsia"/>
          <w:sz w:val="28"/>
        </w:rPr>
        <w:t>三产业融合发展，皮山县可依托农业、畜牧业特色资源，发展农产品加工、乡村旅游、农村电商等产业，延长产业链，提升附加值，形成“种植养殖加工销售旅游”等一体化发展模式，促进农业畜牧业与其他产业协同发展，拓宽农民增收渠道。</w:t>
      </w:r>
    </w:p>
    <w:p w14:paraId="6469B29A">
      <w:pPr>
        <w:spacing w:line="580" w:lineRule="exact"/>
        <w:ind w:firstLine="560" w:firstLineChars="200"/>
        <w:rPr>
          <w:sz w:val="28"/>
          <w:szCs w:val="28"/>
        </w:rPr>
      </w:pPr>
      <w:r>
        <w:rPr>
          <w:rFonts w:hint="eastAsia"/>
          <w:sz w:val="28"/>
        </w:rPr>
        <w:t>此外，可借力G219国道旅游升温，规划瓜蒌沙漠观光线+杏花村民宿集群，“文旅+产业”融合，实现农产品溢价与旅游消费双收。相关企业可共建环塔里木林果产业带，共享区域品牌，统一对接主流电商平台产地仓，降低流通成本，拓宽销售渠道。</w:t>
      </w:r>
    </w:p>
    <w:p w14:paraId="58266DE1">
      <w:pPr>
        <w:pStyle w:val="3"/>
        <w:widowControl/>
        <w:spacing w:before="0" w:after="0" w:line="600" w:lineRule="exact"/>
        <w:ind w:firstLine="562" w:firstLineChars="200"/>
        <w:rPr>
          <w:rFonts w:ascii="Arial" w:hAnsi="Arial" w:eastAsia="黑体"/>
          <w:bCs w:val="0"/>
          <w:kern w:val="0"/>
          <w:sz w:val="28"/>
          <w:szCs w:val="20"/>
        </w:rPr>
      </w:pPr>
      <w:bookmarkStart w:id="19" w:name="_Toc237987579"/>
      <w:r>
        <w:rPr>
          <w:rFonts w:hint="eastAsia" w:ascii="Arial" w:hAnsi="Arial" w:eastAsia="黑体"/>
          <w:bCs w:val="0"/>
          <w:kern w:val="0"/>
          <w:sz w:val="28"/>
          <w:szCs w:val="20"/>
        </w:rPr>
        <w:t>二、存在问题及制约条件</w:t>
      </w:r>
      <w:bookmarkEnd w:id="19"/>
    </w:p>
    <w:p w14:paraId="00190078">
      <w:pPr>
        <w:spacing w:line="580" w:lineRule="exact"/>
        <w:ind w:firstLine="560" w:firstLineChars="200"/>
        <w:rPr>
          <w:sz w:val="28"/>
        </w:rPr>
      </w:pPr>
      <w:r>
        <w:rPr>
          <w:rFonts w:hint="eastAsia"/>
          <w:sz w:val="28"/>
        </w:rPr>
        <w:t>皮山县农业、畜牧业在发展过程中取得了一定成就，但仍面临诸多问题，这些问题在农业和畜牧业领域均有不同程度的体现，具体如下：</w:t>
      </w:r>
    </w:p>
    <w:p w14:paraId="57FD360E">
      <w:pPr>
        <w:pStyle w:val="4"/>
        <w:keepLines w:val="0"/>
        <w:topLinePunct/>
        <w:spacing w:before="0" w:after="0" w:line="540" w:lineRule="exact"/>
        <w:ind w:firstLine="632" w:firstLineChars="210"/>
        <w:rPr>
          <w:rFonts w:eastAsia="宋体"/>
          <w:sz w:val="30"/>
          <w:szCs w:val="30"/>
        </w:rPr>
      </w:pPr>
      <w:bookmarkStart w:id="20" w:name="_Toc237987580"/>
      <w:r>
        <w:rPr>
          <w:rFonts w:hint="eastAsia" w:eastAsia="宋体"/>
          <w:sz w:val="30"/>
          <w:szCs w:val="30"/>
        </w:rPr>
        <w:t>（一）农业发展存在的问题</w:t>
      </w:r>
      <w:bookmarkEnd w:id="20"/>
    </w:p>
    <w:p w14:paraId="538AD9B3">
      <w:pPr>
        <w:spacing w:line="580" w:lineRule="exact"/>
        <w:ind w:firstLine="562" w:firstLineChars="200"/>
        <w:rPr>
          <w:b/>
          <w:sz w:val="28"/>
        </w:rPr>
      </w:pPr>
      <w:r>
        <w:rPr>
          <w:rFonts w:hint="eastAsia"/>
          <w:b/>
          <w:sz w:val="28"/>
        </w:rPr>
        <w:t>1、资源与环境约束</w:t>
      </w:r>
    </w:p>
    <w:p w14:paraId="4675B3CD">
      <w:pPr>
        <w:spacing w:line="580" w:lineRule="exact"/>
        <w:ind w:firstLine="560" w:firstLineChars="200"/>
        <w:rPr>
          <w:sz w:val="28"/>
        </w:rPr>
      </w:pPr>
      <w:r>
        <w:rPr>
          <w:rFonts w:hint="eastAsia"/>
          <w:sz w:val="28"/>
        </w:rPr>
        <w:t>水资源匮乏：皮山县地处</w:t>
      </w:r>
      <w:r>
        <w:rPr>
          <w:sz w:val="28"/>
        </w:rPr>
        <w:t>暖温带大陆性干旱气候区</w:t>
      </w:r>
      <w:r>
        <w:rPr>
          <w:rFonts w:hint="eastAsia"/>
          <w:sz w:val="28"/>
        </w:rPr>
        <w:t>，全年平均降水量39.8毫米，</w:t>
      </w:r>
      <w:r>
        <w:rPr>
          <w:sz w:val="28"/>
        </w:rPr>
        <w:t>皮山县水资源来源于喀喇昆仑山冰雪融水和部分地下水</w:t>
      </w:r>
      <w:r>
        <w:rPr>
          <w:rFonts w:hint="eastAsia"/>
          <w:sz w:val="28"/>
        </w:rPr>
        <w:t>，农业用水主要是地表水，季节性缺水问题突出，尤其在春耕和作物生长旺季，水资源供需矛盾加剧，制约规模化种植扩张，特色林果（如杏李）单产波动大，影响特色种植的产量和品质稳定性。</w:t>
      </w:r>
    </w:p>
    <w:p w14:paraId="37ABB96E">
      <w:pPr>
        <w:spacing w:line="580" w:lineRule="exact"/>
        <w:ind w:firstLine="560" w:firstLineChars="200"/>
        <w:rPr>
          <w:sz w:val="28"/>
        </w:rPr>
      </w:pPr>
      <w:r>
        <w:rPr>
          <w:rFonts w:hint="eastAsia"/>
          <w:sz w:val="28"/>
        </w:rPr>
        <w:t>生态承载力有限：</w:t>
      </w:r>
      <w:bookmarkStart w:id="21" w:name="OLE_LINK2"/>
      <w:bookmarkStart w:id="22" w:name="OLE_LINK1"/>
      <w:r>
        <w:rPr>
          <w:rFonts w:hint="eastAsia"/>
          <w:sz w:val="28"/>
        </w:rPr>
        <w:t>由于长期的耕作和不合理的利用，部分农田土壤肥力下降、土层变薄，影响了农作物的产量和质量（</w:t>
      </w:r>
      <w:r>
        <w:rPr>
          <w:sz w:val="28"/>
        </w:rPr>
        <w:t>《新疆耕地质量等级情况通报》自治区农业农村厅，2023年</w:t>
      </w:r>
      <w:r>
        <w:rPr>
          <w:rFonts w:hint="eastAsia"/>
          <w:sz w:val="28"/>
        </w:rPr>
        <w:t>）。</w:t>
      </w:r>
      <w:bookmarkStart w:id="23" w:name="OLE_LINK3"/>
      <w:bookmarkStart w:id="24" w:name="OLE_LINK4"/>
      <w:r>
        <w:rPr>
          <w:rFonts w:hint="eastAsia"/>
          <w:sz w:val="28"/>
        </w:rPr>
        <w:t>荒漠区瓜蒌种植需配套防风固沙工程</w:t>
      </w:r>
      <w:bookmarkEnd w:id="23"/>
      <w:bookmarkEnd w:id="24"/>
      <w:r>
        <w:rPr>
          <w:rFonts w:hint="eastAsia"/>
          <w:sz w:val="28"/>
        </w:rPr>
        <w:t>（如草方格），每亩成本增加800-1200元（《新疆防沙治沙工程技术规范》DB65/T 3756-2015）；草场退化率超25%（《新疆草原资源与生态监测报告（2023年度）》自治区林业和草原局发布）。</w:t>
      </w:r>
      <w:bookmarkEnd w:id="21"/>
      <w:bookmarkEnd w:id="22"/>
      <w:r>
        <w:rPr>
          <w:rFonts w:hint="eastAsia"/>
          <w:sz w:val="28"/>
        </w:rPr>
        <w:t>皮山县2023年存栏量约250万羊单位，理论需草量125万吨/年。实际天然草场产草量按退化后平均300 kg/ha计算，可提供约80万吨，缺口约45万吨，缺口率达36%。（《新疆畜牧业发展统计年鉴2023》）。</w:t>
      </w:r>
    </w:p>
    <w:p w14:paraId="5E7A2B17">
      <w:pPr>
        <w:spacing w:line="580" w:lineRule="exact"/>
        <w:ind w:firstLine="562" w:firstLineChars="200"/>
        <w:rPr>
          <w:b/>
          <w:sz w:val="28"/>
        </w:rPr>
      </w:pPr>
      <w:r>
        <w:rPr>
          <w:rFonts w:hint="eastAsia"/>
          <w:b/>
          <w:sz w:val="28"/>
        </w:rPr>
        <w:t>2、水利设施建设滞后</w:t>
      </w:r>
    </w:p>
    <w:p w14:paraId="10F8E8CB">
      <w:pPr>
        <w:spacing w:line="580" w:lineRule="exact"/>
        <w:ind w:firstLine="560" w:firstLineChars="200"/>
        <w:rPr>
          <w:sz w:val="28"/>
        </w:rPr>
      </w:pPr>
      <w:r>
        <w:rPr>
          <w:rFonts w:hint="eastAsia"/>
          <w:sz w:val="28"/>
        </w:rPr>
        <w:t>虽然恰斯干水库等工程在建设中，但现有水利设施老化、灌溉管网覆盖率不足，部分地区仍依赖传统漫灌方式，水资源浪费严重。高效节水灌溉技术（如滴灌、喷灌）在偏远产区推广进度缓慢，导致农业用水效率低，制约规模化种植发展。</w:t>
      </w:r>
    </w:p>
    <w:p w14:paraId="186B9EB9">
      <w:pPr>
        <w:spacing w:line="580" w:lineRule="exact"/>
        <w:ind w:firstLine="560" w:firstLineChars="200"/>
        <w:rPr>
          <w:sz w:val="28"/>
        </w:rPr>
      </w:pPr>
      <w:r>
        <w:rPr>
          <w:rFonts w:hint="eastAsia"/>
          <w:sz w:val="28"/>
        </w:rPr>
        <w:t>在农林间作区单套滴灌系统难以满足不同作物差异性需求，滴灌系统建设存在兼顾节水效果与经济可行性的难题。</w:t>
      </w:r>
    </w:p>
    <w:p w14:paraId="060D116E">
      <w:pPr>
        <w:spacing w:line="580" w:lineRule="exact"/>
        <w:ind w:firstLine="562" w:firstLineChars="200"/>
        <w:rPr>
          <w:b/>
          <w:sz w:val="28"/>
        </w:rPr>
      </w:pPr>
      <w:r>
        <w:rPr>
          <w:rFonts w:hint="eastAsia"/>
          <w:b/>
          <w:sz w:val="28"/>
        </w:rPr>
        <w:t>3、特色种植产业化水平不足</w:t>
      </w:r>
    </w:p>
    <w:p w14:paraId="0EE6C9AB">
      <w:pPr>
        <w:spacing w:line="580" w:lineRule="exact"/>
        <w:ind w:firstLine="560" w:firstLineChars="200"/>
        <w:rPr>
          <w:sz w:val="28"/>
        </w:rPr>
      </w:pPr>
      <w:r>
        <w:rPr>
          <w:rFonts w:hint="eastAsia"/>
          <w:sz w:val="28"/>
        </w:rPr>
        <w:t>品种培育与技术支撑薄弱：部分特色作物（如杏李）的品种改良依赖外部引进，本地科研力量薄弱，缺乏自主培育的优质品种；标准化种植技术推广不到位，农户种植管理水平参差不齐，导致农产品品质不稳定，市场竞争力不足。</w:t>
      </w:r>
    </w:p>
    <w:p w14:paraId="2E86931D">
      <w:pPr>
        <w:spacing w:line="580" w:lineRule="exact"/>
        <w:ind w:firstLine="560" w:firstLineChars="200"/>
        <w:rPr>
          <w:sz w:val="28"/>
        </w:rPr>
      </w:pPr>
      <w:r>
        <w:rPr>
          <w:rFonts w:hint="eastAsia"/>
          <w:sz w:val="28"/>
        </w:rPr>
        <w:t>产业链条短，附加值低：以初级产品销售为主，深加工企业少，冷链物流、品牌营销等配套体系不完善。例如，杏李等水果缺乏精深加工能力，旺季时易出现滞销或低价抛售现象，产业效益难以提升。</w:t>
      </w:r>
    </w:p>
    <w:p w14:paraId="12BB6390">
      <w:pPr>
        <w:spacing w:line="580" w:lineRule="exact"/>
        <w:ind w:firstLine="562" w:firstLineChars="200"/>
        <w:rPr>
          <w:b/>
          <w:sz w:val="28"/>
        </w:rPr>
      </w:pPr>
      <w:r>
        <w:rPr>
          <w:rFonts w:hint="eastAsia"/>
          <w:b/>
          <w:sz w:val="28"/>
        </w:rPr>
        <w:t>4、设施农业投入与技术瓶颈</w:t>
      </w:r>
    </w:p>
    <w:p w14:paraId="6EE6A2F5">
      <w:pPr>
        <w:spacing w:line="580" w:lineRule="exact"/>
        <w:ind w:firstLine="560" w:firstLineChars="200"/>
        <w:rPr>
          <w:sz w:val="28"/>
        </w:rPr>
      </w:pPr>
      <w:r>
        <w:rPr>
          <w:rFonts w:hint="eastAsia"/>
          <w:sz w:val="28"/>
        </w:rPr>
        <w:t>资金投入不足：现代化温室大棚、智能温控系统等设施建设成本高，农户自筹资金能力有限，政府补贴覆盖面不足，导致设施农业规模扩张缓慢，智能化、自动化生产水平低。</w:t>
      </w:r>
    </w:p>
    <w:p w14:paraId="429E5748">
      <w:pPr>
        <w:spacing w:line="580" w:lineRule="exact"/>
        <w:ind w:firstLine="560" w:firstLineChars="200"/>
        <w:rPr>
          <w:sz w:val="28"/>
        </w:rPr>
      </w:pPr>
      <w:r>
        <w:rPr>
          <w:rFonts w:hint="eastAsia"/>
          <w:sz w:val="28"/>
        </w:rPr>
        <w:t>技术应用滞后：无土栽培、立体种植等高效模式推广难度大，农户对新技术接受度低，缺乏专业技术人员指导，设施农业产出效益未充分释放。</w:t>
      </w:r>
    </w:p>
    <w:p w14:paraId="30EA5EFE">
      <w:pPr>
        <w:pStyle w:val="4"/>
        <w:keepLines w:val="0"/>
        <w:topLinePunct/>
        <w:spacing w:before="0" w:after="0" w:line="540" w:lineRule="exact"/>
        <w:ind w:firstLine="632" w:firstLineChars="210"/>
        <w:rPr>
          <w:rFonts w:eastAsia="宋体"/>
          <w:sz w:val="30"/>
          <w:szCs w:val="30"/>
        </w:rPr>
      </w:pPr>
      <w:bookmarkStart w:id="25" w:name="_Toc237987581"/>
      <w:r>
        <w:rPr>
          <w:rFonts w:hint="eastAsia" w:eastAsia="宋体"/>
          <w:sz w:val="30"/>
          <w:szCs w:val="30"/>
        </w:rPr>
        <w:t>（二）畜牧业发展存在的问题</w:t>
      </w:r>
      <w:bookmarkEnd w:id="25"/>
    </w:p>
    <w:p w14:paraId="65B7A0C5">
      <w:pPr>
        <w:spacing w:line="580" w:lineRule="exact"/>
        <w:ind w:firstLine="562" w:firstLineChars="200"/>
        <w:rPr>
          <w:b/>
          <w:sz w:val="28"/>
        </w:rPr>
      </w:pPr>
      <w:r>
        <w:rPr>
          <w:rFonts w:hint="eastAsia"/>
          <w:b/>
          <w:sz w:val="28"/>
        </w:rPr>
        <w:t>1、品种改良与繁育体系不完善</w:t>
      </w:r>
    </w:p>
    <w:p w14:paraId="15D251B5">
      <w:pPr>
        <w:spacing w:line="580" w:lineRule="exact"/>
        <w:ind w:firstLine="560" w:firstLineChars="200"/>
        <w:rPr>
          <w:sz w:val="28"/>
        </w:rPr>
      </w:pPr>
      <w:r>
        <w:rPr>
          <w:rFonts w:hint="eastAsia"/>
          <w:sz w:val="28"/>
        </w:rPr>
        <w:t>良种覆盖率低：尽管皮山红羊入选国家基因库，但规模化养殖中仍存在品种混杂现象，部分养殖户使用本地普通羊种，良种推广依赖种羊场供应，覆盖范围有限。</w:t>
      </w:r>
    </w:p>
    <w:p w14:paraId="30B14BA8">
      <w:pPr>
        <w:spacing w:line="580" w:lineRule="exact"/>
        <w:ind w:firstLine="560" w:firstLineChars="200"/>
        <w:rPr>
          <w:sz w:val="28"/>
        </w:rPr>
      </w:pPr>
      <w:r>
        <w:rPr>
          <w:rFonts w:hint="eastAsia"/>
          <w:sz w:val="28"/>
        </w:rPr>
        <w:t>繁育技术薄弱：人工授精、胚胎移植等先进技术应用不足，尤其在散户养殖中，繁育效率低，红羊多胎优势未充分发挥，制约养殖效益提升。</w:t>
      </w:r>
    </w:p>
    <w:p w14:paraId="4E2827DB">
      <w:pPr>
        <w:spacing w:line="580" w:lineRule="exact"/>
        <w:ind w:firstLine="562" w:firstLineChars="200"/>
        <w:rPr>
          <w:b/>
          <w:sz w:val="28"/>
        </w:rPr>
      </w:pPr>
      <w:r>
        <w:rPr>
          <w:rFonts w:hint="eastAsia"/>
          <w:b/>
          <w:sz w:val="28"/>
        </w:rPr>
        <w:t>2、疫病防控与养殖风险较高</w:t>
      </w:r>
    </w:p>
    <w:p w14:paraId="3822148D">
      <w:pPr>
        <w:spacing w:line="580" w:lineRule="exact"/>
        <w:ind w:firstLine="560" w:firstLineChars="200"/>
        <w:rPr>
          <w:sz w:val="28"/>
        </w:rPr>
      </w:pPr>
      <w:r>
        <w:rPr>
          <w:rFonts w:hint="eastAsia"/>
          <w:sz w:val="28"/>
        </w:rPr>
        <w:t>防控体系薄弱：基层防疫队伍专业力量不足，村级防疫员待遇低、流动性大，疫情监测预警网络覆盖不全，部分养殖场（户）生物安全意识淡薄，重大动物疫病（如口蹄疫、布鲁氏菌病）防控压力大。</w:t>
      </w:r>
    </w:p>
    <w:p w14:paraId="7D3FCE45">
      <w:pPr>
        <w:spacing w:line="580" w:lineRule="exact"/>
        <w:ind w:firstLine="560" w:firstLineChars="200"/>
        <w:rPr>
          <w:sz w:val="28"/>
        </w:rPr>
      </w:pPr>
      <w:r>
        <w:rPr>
          <w:rFonts w:hint="eastAsia"/>
          <w:sz w:val="28"/>
        </w:rPr>
        <w:t>应急能力不足：疫苗储备、检测设备和应急处置资金有限，面对突发疫情时响应速度慢，可能造成养殖损失。</w:t>
      </w:r>
    </w:p>
    <w:p w14:paraId="6AC06410">
      <w:pPr>
        <w:spacing w:line="580" w:lineRule="exact"/>
        <w:ind w:firstLine="562" w:firstLineChars="200"/>
        <w:rPr>
          <w:b/>
          <w:sz w:val="28"/>
        </w:rPr>
      </w:pPr>
      <w:r>
        <w:rPr>
          <w:rFonts w:hint="eastAsia"/>
          <w:b/>
          <w:sz w:val="28"/>
        </w:rPr>
        <w:t>3、规模化养殖与环保压力并存</w:t>
      </w:r>
    </w:p>
    <w:p w14:paraId="14020709">
      <w:pPr>
        <w:spacing w:line="580" w:lineRule="exact"/>
        <w:ind w:firstLine="560" w:firstLineChars="200"/>
        <w:rPr>
          <w:sz w:val="28"/>
        </w:rPr>
      </w:pPr>
      <w:r>
        <w:rPr>
          <w:rFonts w:hint="eastAsia"/>
          <w:sz w:val="28"/>
        </w:rPr>
        <w:t>规模化程度低：目前仍以散户养殖为主，规模化养殖场占比不足，养殖模式分散，难以实现统一管理、饲料采购和市场对接，抗风险能力弱。</w:t>
      </w:r>
    </w:p>
    <w:p w14:paraId="4FA6150E">
      <w:pPr>
        <w:spacing w:line="580" w:lineRule="exact"/>
        <w:ind w:firstLine="560" w:firstLineChars="200"/>
        <w:rPr>
          <w:sz w:val="28"/>
        </w:rPr>
      </w:pPr>
      <w:r>
        <w:rPr>
          <w:rFonts w:hint="eastAsia"/>
          <w:sz w:val="28"/>
        </w:rPr>
        <w:t>环保设施滞后：部分养殖场（户）粪污处理设施简陋，粪污资源化利用率低，养殖废弃物排放对周边环境造成污染，面临环保政策约束压力。</w:t>
      </w:r>
    </w:p>
    <w:p w14:paraId="05F0F5D5">
      <w:pPr>
        <w:spacing w:line="580" w:lineRule="exact"/>
        <w:ind w:firstLine="562" w:firstLineChars="200"/>
        <w:rPr>
          <w:b/>
          <w:sz w:val="28"/>
        </w:rPr>
      </w:pPr>
      <w:r>
        <w:rPr>
          <w:rFonts w:hint="eastAsia"/>
          <w:b/>
          <w:sz w:val="28"/>
        </w:rPr>
        <w:t>4、饲料供应体系稳定性不足</w:t>
      </w:r>
    </w:p>
    <w:p w14:paraId="362292D4">
      <w:pPr>
        <w:spacing w:line="580" w:lineRule="exact"/>
        <w:ind w:firstLine="560" w:firstLineChars="200"/>
        <w:rPr>
          <w:sz w:val="28"/>
        </w:rPr>
      </w:pPr>
      <w:r>
        <w:rPr>
          <w:rFonts w:hint="eastAsia"/>
          <w:sz w:val="28"/>
        </w:rPr>
        <w:t>饲草料短缺：皮山县饲草料种植面积有限，青贮玉米、苜蓿等优质饲料依赖外部调运，成本高且供应不稳定，尤其在冬季易出现饲料短缺，制约养殖规模扩大。</w:t>
      </w:r>
    </w:p>
    <w:p w14:paraId="235C9753">
      <w:pPr>
        <w:spacing w:line="580" w:lineRule="exact"/>
        <w:ind w:firstLine="560" w:firstLineChars="200"/>
        <w:rPr>
          <w:sz w:val="28"/>
        </w:rPr>
      </w:pPr>
      <w:r>
        <w:rPr>
          <w:rFonts w:hint="eastAsia"/>
          <w:sz w:val="28"/>
        </w:rPr>
        <w:t>饲料加工能力薄弱：本地饲料加工厂规模小、技术落后，产品单一，缺乏高附加值饲料（如全价配合饲料）的生产能力，难以满足规模化养殖的营养需求。</w:t>
      </w:r>
    </w:p>
    <w:p w14:paraId="74C8779E">
      <w:pPr>
        <w:pStyle w:val="4"/>
        <w:keepLines w:val="0"/>
        <w:topLinePunct/>
        <w:spacing w:before="0" w:after="0" w:line="540" w:lineRule="exact"/>
        <w:ind w:firstLine="632" w:firstLineChars="210"/>
        <w:rPr>
          <w:rFonts w:eastAsia="宋体"/>
          <w:sz w:val="30"/>
          <w:szCs w:val="30"/>
        </w:rPr>
      </w:pPr>
      <w:bookmarkStart w:id="26" w:name="_Toc237987582"/>
      <w:r>
        <w:rPr>
          <w:rFonts w:hint="eastAsia" w:eastAsia="宋体"/>
          <w:sz w:val="30"/>
          <w:szCs w:val="30"/>
        </w:rPr>
        <w:t>（三）产业融合与政策支持短板</w:t>
      </w:r>
      <w:bookmarkEnd w:id="26"/>
    </w:p>
    <w:p w14:paraId="728B4468">
      <w:pPr>
        <w:spacing w:line="580" w:lineRule="exact"/>
        <w:ind w:firstLine="562" w:firstLineChars="200"/>
        <w:rPr>
          <w:b/>
          <w:sz w:val="28"/>
        </w:rPr>
      </w:pPr>
      <w:r>
        <w:rPr>
          <w:rFonts w:hint="eastAsia"/>
          <w:b/>
          <w:sz w:val="28"/>
        </w:rPr>
        <w:t>1、一二三产业融合不足</w:t>
      </w:r>
    </w:p>
    <w:p w14:paraId="594B16B4">
      <w:pPr>
        <w:spacing w:line="580" w:lineRule="exact"/>
        <w:ind w:firstLine="560" w:firstLineChars="200"/>
        <w:rPr>
          <w:sz w:val="28"/>
        </w:rPr>
      </w:pPr>
      <w:r>
        <w:rPr>
          <w:rFonts w:hint="eastAsia"/>
          <w:sz w:val="28"/>
        </w:rPr>
        <w:t>农业与畜牧业、加工业、服务业的联动性弱，缺乏“种植-养殖-加工-销售”一体化产业链，市场信息不对称，农户抗风险能力差。</w:t>
      </w:r>
    </w:p>
    <w:p w14:paraId="6CEF671D">
      <w:pPr>
        <w:spacing w:line="580" w:lineRule="exact"/>
        <w:ind w:firstLine="562" w:firstLineChars="200"/>
        <w:rPr>
          <w:b/>
          <w:sz w:val="28"/>
        </w:rPr>
      </w:pPr>
      <w:r>
        <w:rPr>
          <w:rFonts w:hint="eastAsia"/>
          <w:b/>
          <w:sz w:val="28"/>
        </w:rPr>
        <w:t>2、政策与资金支持力度不足</w:t>
      </w:r>
    </w:p>
    <w:p w14:paraId="61BE15BA">
      <w:pPr>
        <w:spacing w:line="580" w:lineRule="exact"/>
        <w:ind w:firstLine="560" w:firstLineChars="200"/>
        <w:rPr>
          <w:sz w:val="28"/>
        </w:rPr>
      </w:pPr>
      <w:r>
        <w:rPr>
          <w:rFonts w:hint="eastAsia"/>
          <w:sz w:val="28"/>
        </w:rPr>
        <w:t>高效节水农业、规模化养殖等项目的补贴标准偏低，金融信贷支持（如贴息贷款）门槛高，社会资本参与度低，制约产业升级。</w:t>
      </w:r>
    </w:p>
    <w:p w14:paraId="700E3BC4">
      <w:pPr>
        <w:spacing w:line="580" w:lineRule="exact"/>
        <w:ind w:firstLine="562" w:firstLineChars="200"/>
        <w:rPr>
          <w:b/>
          <w:sz w:val="28"/>
        </w:rPr>
      </w:pPr>
      <w:r>
        <w:rPr>
          <w:rFonts w:hint="eastAsia"/>
          <w:b/>
          <w:sz w:val="28"/>
        </w:rPr>
        <w:t>3、人才短缺</w:t>
      </w:r>
    </w:p>
    <w:p w14:paraId="70D2D703">
      <w:pPr>
        <w:spacing w:line="580" w:lineRule="exact"/>
        <w:ind w:firstLine="560" w:firstLineChars="200"/>
        <w:rPr>
          <w:sz w:val="28"/>
        </w:rPr>
      </w:pPr>
      <w:r>
        <w:rPr>
          <w:rFonts w:hint="eastAsia"/>
          <w:sz w:val="28"/>
        </w:rPr>
        <w:t>农业畜牧业技术人才、管理人才流失严重，基层农技推广队伍力量薄弱，农户接受新技术、新模式的能力有限，阻碍产业现代化进程。</w:t>
      </w:r>
    </w:p>
    <w:p w14:paraId="30D2ABA7">
      <w:pPr>
        <w:spacing w:line="580" w:lineRule="exact"/>
        <w:ind w:firstLine="562" w:firstLineChars="200"/>
        <w:rPr>
          <w:b/>
          <w:sz w:val="28"/>
        </w:rPr>
      </w:pPr>
      <w:r>
        <w:rPr>
          <w:rFonts w:hint="eastAsia"/>
          <w:b/>
          <w:sz w:val="28"/>
        </w:rPr>
        <w:t>4、市场开拓及品牌建设不足</w:t>
      </w:r>
    </w:p>
    <w:p w14:paraId="6E63416A">
      <w:pPr>
        <w:spacing w:line="580" w:lineRule="exact"/>
        <w:ind w:firstLine="560" w:firstLineChars="200"/>
        <w:rPr>
          <w:sz w:val="28"/>
        </w:rPr>
      </w:pPr>
      <w:r>
        <w:rPr>
          <w:rFonts w:hint="eastAsia"/>
          <w:sz w:val="28"/>
        </w:rPr>
        <w:t>自主市场开拓能力弱，电商渗透率不足10%。虽然有些农产品已经获得了地理标志保护认证，但在全国乃至国际市场上的知名度仍有待提升。</w:t>
      </w:r>
    </w:p>
    <w:p w14:paraId="30CDB7AC">
      <w:pPr>
        <w:spacing w:line="580" w:lineRule="exact"/>
        <w:ind w:firstLine="560" w:firstLineChars="200"/>
        <w:rPr>
          <w:sz w:val="28"/>
          <w:szCs w:val="28"/>
        </w:rPr>
      </w:pPr>
      <w:r>
        <w:rPr>
          <w:rFonts w:hint="eastAsia"/>
          <w:sz w:val="28"/>
        </w:rPr>
        <w:t>这些问题的存在，使得皮山县农业、畜牧业在提质增效、规模化发展和市场竞争力提升等方面面临挑战，需在“十五五”规划中针对性制定解决方案，通过政策引导、技术创新和产业整合等措施逐步破解。</w:t>
      </w:r>
    </w:p>
    <w:p w14:paraId="5FE946A0">
      <w:pPr>
        <w:spacing w:line="580" w:lineRule="exact"/>
        <w:ind w:firstLine="560" w:firstLineChars="200"/>
        <w:rPr>
          <w:sz w:val="28"/>
          <w:szCs w:val="28"/>
        </w:rPr>
      </w:pPr>
    </w:p>
    <w:p w14:paraId="372402F5">
      <w:pPr>
        <w:widowControl/>
        <w:jc w:val="left"/>
        <w:rPr>
          <w:rFonts w:eastAsia="宋体"/>
          <w:b/>
          <w:kern w:val="44"/>
          <w:szCs w:val="20"/>
        </w:rPr>
      </w:pPr>
      <w:r>
        <w:rPr>
          <w:rFonts w:eastAsia="宋体"/>
          <w:b/>
          <w:szCs w:val="20"/>
        </w:rPr>
        <w:br w:type="page"/>
      </w:r>
    </w:p>
    <w:p w14:paraId="0FD28F98">
      <w:pPr>
        <w:pStyle w:val="2"/>
        <w:widowControl/>
        <w:spacing w:line="600" w:lineRule="exact"/>
        <w:jc w:val="center"/>
        <w:rPr>
          <w:rFonts w:ascii="Times New Roman" w:hAnsi="Times New Roman" w:eastAsia="宋体"/>
          <w:b/>
          <w:sz w:val="32"/>
          <w:szCs w:val="20"/>
        </w:rPr>
      </w:pPr>
      <w:bookmarkStart w:id="27" w:name="_Toc237987583"/>
      <w:r>
        <w:rPr>
          <w:rFonts w:hint="eastAsia" w:ascii="Times New Roman" w:hAnsi="Times New Roman" w:eastAsia="宋体"/>
          <w:b/>
          <w:sz w:val="32"/>
          <w:szCs w:val="20"/>
        </w:rPr>
        <w:t>第三章 “十五五”规划指导思想与发展目标</w:t>
      </w:r>
      <w:bookmarkEnd w:id="27"/>
    </w:p>
    <w:p w14:paraId="583E0BA5">
      <w:pPr>
        <w:pStyle w:val="3"/>
        <w:widowControl/>
        <w:spacing w:before="0" w:after="0" w:line="600" w:lineRule="exact"/>
        <w:ind w:firstLine="562" w:firstLineChars="200"/>
        <w:rPr>
          <w:rFonts w:ascii="Arial" w:hAnsi="Arial" w:eastAsia="黑体"/>
          <w:bCs w:val="0"/>
          <w:kern w:val="0"/>
          <w:sz w:val="28"/>
          <w:szCs w:val="20"/>
        </w:rPr>
      </w:pPr>
      <w:bookmarkStart w:id="28" w:name="_Toc237987584"/>
      <w:r>
        <w:rPr>
          <w:rFonts w:hint="eastAsia" w:ascii="Arial" w:hAnsi="Arial" w:eastAsia="黑体"/>
          <w:bCs w:val="0"/>
          <w:kern w:val="0"/>
          <w:sz w:val="28"/>
          <w:szCs w:val="20"/>
        </w:rPr>
        <w:t>一、</w:t>
      </w:r>
      <w:bookmarkStart w:id="29" w:name="OLE_LINK16"/>
      <w:r>
        <w:rPr>
          <w:rFonts w:hint="eastAsia" w:ascii="Arial" w:hAnsi="Arial" w:eastAsia="黑体"/>
          <w:bCs w:val="0"/>
          <w:kern w:val="0"/>
          <w:sz w:val="28"/>
          <w:szCs w:val="20"/>
        </w:rPr>
        <w:t>指导思想</w:t>
      </w:r>
      <w:bookmarkEnd w:id="28"/>
      <w:bookmarkEnd w:id="29"/>
    </w:p>
    <w:p w14:paraId="36C0FBAD">
      <w:pPr>
        <w:spacing w:line="580" w:lineRule="exact"/>
        <w:ind w:firstLine="560" w:firstLineChars="200"/>
        <w:rPr>
          <w:sz w:val="28"/>
          <w:szCs w:val="28"/>
        </w:rPr>
      </w:pPr>
      <w:r>
        <w:rPr>
          <w:rFonts w:hint="eastAsia"/>
          <w:sz w:val="28"/>
          <w:szCs w:val="28"/>
        </w:rPr>
        <w:t>坚持以习近平新时代中国特色社会主义思想为指导，深入贯彻落实党的二十大和二十届历次全会精神，全面贯彻习近平总书记关于“三农”工作的重要论述，完整准确全面贯彻新时代党的治疆方略，牢记中央赋予新疆的“全国优质农牧产品重要供给基地”战略定位，按照和田地区“粮油产业集群、优质畜产品产业集群、绿色果蔬产业集群、纺织服装产业集群”四大产业集群总体布局，坚持和加强党对“三农”工作的全面领导。贯彻落实中央</w:t>
      </w:r>
      <w:r>
        <w:rPr>
          <w:rFonts w:hint="eastAsia"/>
          <w:sz w:val="28"/>
          <w:szCs w:val="28"/>
          <w:lang w:eastAsia="zh-CN"/>
        </w:rPr>
        <w:t>一</w:t>
      </w:r>
      <w:r>
        <w:rPr>
          <w:rFonts w:hint="eastAsia"/>
          <w:sz w:val="28"/>
          <w:szCs w:val="28"/>
        </w:rPr>
        <w:t>号文件、中央经济工作会议精神、中央农村工作会议精神、《加快建设农业强国规划</w:t>
      </w:r>
      <w:r>
        <w:rPr>
          <w:rFonts w:hint="eastAsia"/>
          <w:sz w:val="28"/>
          <w:szCs w:val="28"/>
          <w:lang w:eastAsia="zh-CN"/>
        </w:rPr>
        <w:t>（</w:t>
      </w:r>
      <w:r>
        <w:rPr>
          <w:rFonts w:hint="eastAsia"/>
          <w:sz w:val="28"/>
          <w:szCs w:val="28"/>
        </w:rPr>
        <w:t>2024</w:t>
      </w:r>
      <w:r>
        <w:rPr>
          <w:rFonts w:hint="eastAsia"/>
          <w:sz w:val="28"/>
          <w:szCs w:val="28"/>
          <w:lang w:val="en-US" w:eastAsia="zh-CN"/>
        </w:rPr>
        <w:t>-</w:t>
      </w:r>
      <w:r>
        <w:rPr>
          <w:rFonts w:hint="eastAsia"/>
          <w:sz w:val="28"/>
          <w:szCs w:val="28"/>
        </w:rPr>
        <w:t>2035年</w:t>
      </w:r>
      <w:r>
        <w:rPr>
          <w:rFonts w:hint="eastAsia"/>
          <w:sz w:val="28"/>
          <w:szCs w:val="28"/>
          <w:lang w:eastAsia="zh-CN"/>
        </w:rPr>
        <w:t>）</w:t>
      </w:r>
      <w:r>
        <w:rPr>
          <w:rFonts w:hint="eastAsia"/>
          <w:sz w:val="28"/>
          <w:szCs w:val="28"/>
        </w:rPr>
        <w:t>》及自治区党委十届历次全会及自治区党委</w:t>
      </w:r>
      <w:r>
        <w:rPr>
          <w:rFonts w:hint="eastAsia"/>
          <w:sz w:val="28"/>
          <w:szCs w:val="28"/>
          <w:lang w:eastAsia="zh-CN"/>
        </w:rPr>
        <w:t>一</w:t>
      </w:r>
      <w:r>
        <w:rPr>
          <w:rFonts w:hint="eastAsia"/>
          <w:sz w:val="28"/>
          <w:szCs w:val="28"/>
        </w:rPr>
        <w:t>号文件，地委</w:t>
      </w:r>
      <w:r>
        <w:rPr>
          <w:rFonts w:hint="eastAsia"/>
          <w:sz w:val="28"/>
          <w:szCs w:val="28"/>
          <w:lang w:eastAsia="zh-CN"/>
        </w:rPr>
        <w:t>一</w:t>
      </w:r>
      <w:r>
        <w:rPr>
          <w:rFonts w:hint="eastAsia"/>
          <w:sz w:val="28"/>
          <w:szCs w:val="28"/>
        </w:rPr>
        <w:t>号文件部署要求，以学习运用“千万工程”经验为引领，以确保国家粮食安全、守住确保不发生规模性返贫底线。立足皮山县资源禀赋、区位优势和产业基础，以科技创新为引领，坚持“稳粮、强畜、优果、兴特色”主线，以农业现代化、畜牧业绿色转型和农牧民增收为核心，以筑牢生态安全屏障为前提，强化科技和改革双轮驱动，强化农民增收举措，着力建设宜居宜业和美乡村，有力有效推进乡村全面振兴，为推进皮山县社会稳定、经济高质量发展提供有力支撑。</w:t>
      </w:r>
    </w:p>
    <w:p w14:paraId="42A03D79">
      <w:pPr>
        <w:pStyle w:val="3"/>
        <w:widowControl/>
        <w:spacing w:before="0" w:after="0" w:line="600" w:lineRule="exact"/>
        <w:ind w:firstLine="562" w:firstLineChars="200"/>
        <w:rPr>
          <w:rFonts w:ascii="Arial" w:hAnsi="Arial" w:eastAsia="黑体"/>
          <w:bCs w:val="0"/>
          <w:kern w:val="0"/>
          <w:sz w:val="28"/>
          <w:szCs w:val="20"/>
        </w:rPr>
      </w:pPr>
      <w:bookmarkStart w:id="30" w:name="_Toc237987585"/>
      <w:r>
        <w:rPr>
          <w:rFonts w:hint="eastAsia" w:ascii="Arial" w:hAnsi="Arial" w:eastAsia="黑体"/>
          <w:bCs w:val="0"/>
          <w:kern w:val="0"/>
          <w:sz w:val="28"/>
          <w:szCs w:val="20"/>
        </w:rPr>
        <w:t>二、</w:t>
      </w:r>
      <w:bookmarkStart w:id="31" w:name="OLE_LINK19"/>
      <w:bookmarkStart w:id="32" w:name="OLE_LINK20"/>
      <w:bookmarkStart w:id="33" w:name="OLE_LINK18"/>
      <w:r>
        <w:rPr>
          <w:rFonts w:hint="eastAsia" w:ascii="Arial" w:hAnsi="Arial" w:eastAsia="黑体"/>
          <w:bCs w:val="0"/>
          <w:kern w:val="0"/>
          <w:sz w:val="28"/>
          <w:szCs w:val="20"/>
        </w:rPr>
        <w:t>规划原则</w:t>
      </w:r>
      <w:bookmarkEnd w:id="30"/>
      <w:bookmarkEnd w:id="31"/>
      <w:bookmarkEnd w:id="32"/>
      <w:bookmarkEnd w:id="33"/>
    </w:p>
    <w:p w14:paraId="6C518D43">
      <w:pPr>
        <w:pStyle w:val="4"/>
        <w:keepLines w:val="0"/>
        <w:topLinePunct/>
        <w:spacing w:before="0" w:after="0" w:line="540" w:lineRule="exact"/>
        <w:ind w:firstLine="590" w:firstLineChars="210"/>
        <w:rPr>
          <w:sz w:val="28"/>
          <w:szCs w:val="28"/>
        </w:rPr>
      </w:pPr>
      <w:bookmarkStart w:id="34" w:name="_Toc237987586"/>
      <w:r>
        <w:rPr>
          <w:rFonts w:hint="eastAsia"/>
          <w:sz w:val="28"/>
          <w:szCs w:val="28"/>
        </w:rPr>
        <w:t>（一）坚持科学发展原则</w:t>
      </w:r>
      <w:bookmarkEnd w:id="34"/>
    </w:p>
    <w:p w14:paraId="08A2F5C1">
      <w:pPr>
        <w:spacing w:line="580" w:lineRule="exact"/>
        <w:ind w:firstLine="560" w:firstLineChars="200"/>
        <w:rPr>
          <w:sz w:val="28"/>
          <w:szCs w:val="28"/>
        </w:rPr>
      </w:pPr>
      <w:r>
        <w:rPr>
          <w:rFonts w:hint="eastAsia"/>
          <w:sz w:val="28"/>
          <w:szCs w:val="28"/>
        </w:rPr>
        <w:t>以新发展理念统领农业、畜牧业发展全局，注重经济、社会和生态效益的统一，转变经济增长方式，从粗放型向集约型转变，走科技含量高、经济效益好、资源消耗低、环境污染少的发展道路。</w:t>
      </w:r>
    </w:p>
    <w:p w14:paraId="6F70B512">
      <w:pPr>
        <w:pStyle w:val="4"/>
        <w:keepLines w:val="0"/>
        <w:topLinePunct/>
        <w:spacing w:before="0" w:after="0" w:line="540" w:lineRule="exact"/>
        <w:ind w:firstLine="590" w:firstLineChars="210"/>
        <w:rPr>
          <w:sz w:val="28"/>
          <w:szCs w:val="28"/>
        </w:rPr>
      </w:pPr>
      <w:bookmarkStart w:id="35" w:name="_Toc237987587"/>
      <w:r>
        <w:rPr>
          <w:rFonts w:hint="eastAsia"/>
          <w:sz w:val="28"/>
          <w:szCs w:val="28"/>
        </w:rPr>
        <w:t>（二）坚持市场导向原则</w:t>
      </w:r>
      <w:bookmarkEnd w:id="35"/>
    </w:p>
    <w:p w14:paraId="131A99BE">
      <w:pPr>
        <w:spacing w:line="580" w:lineRule="exact"/>
        <w:ind w:firstLine="560" w:firstLineChars="200"/>
        <w:rPr>
          <w:sz w:val="28"/>
        </w:rPr>
      </w:pPr>
      <w:r>
        <w:rPr>
          <w:rFonts w:hint="eastAsia"/>
          <w:sz w:val="28"/>
          <w:szCs w:val="28"/>
        </w:rPr>
        <w:t>以市场需求为导向，根据市场对农产品和畜产品的需求变化，调整农业畜牧业产业结构和产品结构，提高农业畜牧业生产的针对性和有效性，增强农产品和畜产品的市场竞争力。</w:t>
      </w:r>
      <w:r>
        <w:rPr>
          <w:rFonts w:hint="eastAsia"/>
          <w:sz w:val="28"/>
        </w:rPr>
        <w:t>加强农产品和畜产品</w:t>
      </w:r>
      <w:r>
        <w:rPr>
          <w:rFonts w:hint="eastAsia"/>
          <w:sz w:val="28"/>
          <w:szCs w:val="28"/>
        </w:rPr>
        <w:t>市场</w:t>
      </w:r>
      <w:r>
        <w:rPr>
          <w:rFonts w:hint="eastAsia"/>
          <w:sz w:val="28"/>
        </w:rPr>
        <w:t>体系建设，完善市场信息监测和预警机制，引导农民和企业根据市场需求组织生产和经营，提高农业畜牧业发展的市场化水平和抗风险能力。</w:t>
      </w:r>
    </w:p>
    <w:p w14:paraId="246EAE5A">
      <w:pPr>
        <w:pStyle w:val="4"/>
        <w:keepLines w:val="0"/>
        <w:topLinePunct/>
        <w:spacing w:before="0" w:after="0" w:line="540" w:lineRule="exact"/>
        <w:ind w:firstLine="590" w:firstLineChars="210"/>
        <w:rPr>
          <w:sz w:val="28"/>
          <w:szCs w:val="28"/>
        </w:rPr>
      </w:pPr>
      <w:bookmarkStart w:id="36" w:name="_Toc237987588"/>
      <w:r>
        <w:rPr>
          <w:rFonts w:hint="eastAsia"/>
          <w:sz w:val="28"/>
          <w:szCs w:val="28"/>
        </w:rPr>
        <w:t>（三）坚持政府引导原则</w:t>
      </w:r>
      <w:bookmarkEnd w:id="36"/>
    </w:p>
    <w:p w14:paraId="003725D9">
      <w:pPr>
        <w:spacing w:line="580" w:lineRule="exact"/>
        <w:ind w:firstLine="560" w:firstLineChars="200"/>
        <w:rPr>
          <w:sz w:val="28"/>
          <w:szCs w:val="28"/>
        </w:rPr>
      </w:pPr>
      <w:r>
        <w:rPr>
          <w:rFonts w:hint="eastAsia"/>
          <w:sz w:val="28"/>
          <w:szCs w:val="28"/>
        </w:rPr>
        <w:t>充分发挥政府在规划统筹、</w:t>
      </w:r>
      <w:r>
        <w:rPr>
          <w:rFonts w:hint="eastAsia"/>
          <w:sz w:val="28"/>
        </w:rPr>
        <w:t>政策支持、</w:t>
      </w:r>
      <w:r>
        <w:rPr>
          <w:rFonts w:hint="eastAsia"/>
          <w:sz w:val="28"/>
          <w:szCs w:val="28"/>
        </w:rPr>
        <w:t>资金扶持、基础设施建设中的引导作用，</w:t>
      </w:r>
      <w:r>
        <w:rPr>
          <w:rFonts w:hint="eastAsia"/>
          <w:sz w:val="28"/>
        </w:rPr>
        <w:t>营造良好的发展环境。</w:t>
      </w:r>
      <w:r>
        <w:rPr>
          <w:rFonts w:hint="eastAsia"/>
          <w:sz w:val="28"/>
          <w:szCs w:val="28"/>
        </w:rPr>
        <w:t>同时激活市场在资源配置中的决定性作用，培育新型经营主体，完善“企业+合作社+农户”利益联结机制，</w:t>
      </w:r>
      <w:r>
        <w:rPr>
          <w:rFonts w:hint="eastAsia"/>
          <w:sz w:val="28"/>
        </w:rPr>
        <w:t>激发市场主体活力，</w:t>
      </w:r>
      <w:r>
        <w:rPr>
          <w:rFonts w:hint="eastAsia"/>
          <w:sz w:val="28"/>
          <w:szCs w:val="28"/>
        </w:rPr>
        <w:t>推动小农户与现代农业发展有机衔接。</w:t>
      </w:r>
    </w:p>
    <w:p w14:paraId="495961F0">
      <w:pPr>
        <w:pStyle w:val="4"/>
        <w:keepLines w:val="0"/>
        <w:topLinePunct/>
        <w:spacing w:before="0" w:after="0" w:line="540" w:lineRule="exact"/>
        <w:ind w:firstLine="590" w:firstLineChars="210"/>
        <w:rPr>
          <w:sz w:val="28"/>
          <w:szCs w:val="28"/>
        </w:rPr>
      </w:pPr>
      <w:bookmarkStart w:id="37" w:name="_Toc237987589"/>
      <w:r>
        <w:rPr>
          <w:rFonts w:hint="eastAsia"/>
          <w:sz w:val="28"/>
          <w:szCs w:val="28"/>
        </w:rPr>
        <w:t>（四）坚持特色发展原则</w:t>
      </w:r>
      <w:bookmarkEnd w:id="37"/>
    </w:p>
    <w:p w14:paraId="5F23E643">
      <w:pPr>
        <w:spacing w:line="580" w:lineRule="exact"/>
        <w:ind w:firstLine="560" w:firstLineChars="200"/>
        <w:rPr>
          <w:sz w:val="28"/>
          <w:szCs w:val="28"/>
        </w:rPr>
      </w:pPr>
      <w:r>
        <w:rPr>
          <w:rFonts w:hint="eastAsia"/>
          <w:sz w:val="28"/>
          <w:szCs w:val="28"/>
        </w:rPr>
        <w:t>充分考虑皮山县的自然资源禀赋、地理条件、产业基础等因素，依托</w:t>
      </w:r>
      <w:r>
        <w:rPr>
          <w:rFonts w:hint="eastAsia"/>
          <w:sz w:val="28"/>
        </w:rPr>
        <w:t>皮山红羊、和田羊、和田青驴、石榴、杏李、瓜蒌、克里阳雪菊、皮山明星杏、皮西那樱桃、科克铁热克镇葡萄、葛根等特色</w:t>
      </w:r>
      <w:r>
        <w:rPr>
          <w:rFonts w:hint="eastAsia"/>
          <w:sz w:val="28"/>
          <w:szCs w:val="28"/>
        </w:rPr>
        <w:t>种植产品优势，</w:t>
      </w:r>
      <w:r>
        <w:rPr>
          <w:rFonts w:hint="eastAsia"/>
          <w:sz w:val="28"/>
        </w:rPr>
        <w:t>深入挖掘和培育具有地方特色的农业和畜牧业产品，打造一批地域特色鲜明、市场竞争力强的农产品和畜产品品牌，提高地方特色产品的知名度和市场份额。</w:t>
      </w:r>
    </w:p>
    <w:p w14:paraId="29AD8754">
      <w:pPr>
        <w:pStyle w:val="4"/>
        <w:keepLines w:val="0"/>
        <w:topLinePunct/>
        <w:spacing w:before="0" w:after="0" w:line="540" w:lineRule="exact"/>
        <w:ind w:firstLine="590" w:firstLineChars="210"/>
        <w:rPr>
          <w:sz w:val="28"/>
          <w:szCs w:val="28"/>
        </w:rPr>
      </w:pPr>
      <w:bookmarkStart w:id="38" w:name="_Toc237987590"/>
      <w:r>
        <w:rPr>
          <w:rFonts w:hint="eastAsia"/>
          <w:sz w:val="28"/>
          <w:szCs w:val="28"/>
        </w:rPr>
        <w:t>（五）坚持绿色发展原则</w:t>
      </w:r>
      <w:bookmarkEnd w:id="38"/>
    </w:p>
    <w:p w14:paraId="0649023C">
      <w:pPr>
        <w:spacing w:line="580" w:lineRule="exact"/>
        <w:ind w:firstLine="560" w:firstLineChars="200"/>
        <w:rPr>
          <w:sz w:val="28"/>
          <w:szCs w:val="28"/>
        </w:rPr>
      </w:pPr>
      <w:r>
        <w:rPr>
          <w:rFonts w:hint="eastAsia"/>
          <w:sz w:val="28"/>
          <w:szCs w:val="28"/>
        </w:rPr>
        <w:t>立足干旱区资源环境承载能力，严守生态保护红线，皮山县2020—2030年水资源“三条红线”控制指标为4.19亿立方米（其中地表水3.41亿立方米、地下水0.78亿立方米），“十五五”期间农业用水总量严格遵守农业用水总量控制指标，所有新增农业、畜牧业及设施农业项目必须开展水资源论证，确保与区域水资源承载能力相匹配，严禁超水资源承载力盲目扩大种植规模。将高效节水、粪污资源化利用等生态理念贯穿农业畜牧业全链条，加强农业面源污染防治，推进畜禽废弃物资源化利用，发展生态农业、绿色畜牧业，推动形成“资源-生产-消费-再生资源”的循环发展模式，实现经济发展与生态保护协同共进。</w:t>
      </w:r>
    </w:p>
    <w:p w14:paraId="3075AF8B">
      <w:pPr>
        <w:pStyle w:val="4"/>
        <w:keepLines w:val="0"/>
        <w:topLinePunct/>
        <w:spacing w:before="0" w:after="0" w:line="540" w:lineRule="exact"/>
        <w:ind w:firstLine="590" w:firstLineChars="210"/>
        <w:rPr>
          <w:sz w:val="28"/>
          <w:szCs w:val="28"/>
        </w:rPr>
      </w:pPr>
      <w:bookmarkStart w:id="39" w:name="_Toc237987591"/>
      <w:r>
        <w:rPr>
          <w:rFonts w:hint="eastAsia"/>
          <w:sz w:val="28"/>
          <w:szCs w:val="28"/>
        </w:rPr>
        <w:t>（六）坚持创新驱动原则</w:t>
      </w:r>
      <w:bookmarkEnd w:id="39"/>
    </w:p>
    <w:p w14:paraId="7AF34E1E">
      <w:pPr>
        <w:spacing w:line="580" w:lineRule="exact"/>
        <w:ind w:firstLine="560" w:firstLineChars="200"/>
        <w:rPr>
          <w:sz w:val="28"/>
          <w:szCs w:val="28"/>
        </w:rPr>
      </w:pPr>
      <w:r>
        <w:rPr>
          <w:rFonts w:hint="eastAsia"/>
          <w:sz w:val="28"/>
          <w:szCs w:val="28"/>
        </w:rPr>
        <w:t>实施创新驱动发展战略，推进农业、畜牧业科技创新、制度创新和管理创新。把科技创新作为推动农业、畜牧业发展的核心动力，引进和推广先进的农业种植技术、畜禽养殖技术、疫病防控技术等，提高农业、畜牧业的科技含量和生产效率。鼓励企业加大科技创新投入，开展新品种培育、新技术研发、新模式探索等创新活动，培育一批具有自主知识产权和核心竞争力的农业、畜牧业企业。</w:t>
      </w:r>
    </w:p>
    <w:p w14:paraId="769F5140">
      <w:pPr>
        <w:pStyle w:val="4"/>
        <w:keepLines w:val="0"/>
        <w:topLinePunct/>
        <w:spacing w:before="0" w:after="0" w:line="540" w:lineRule="exact"/>
        <w:ind w:firstLine="590" w:firstLineChars="210"/>
        <w:rPr>
          <w:sz w:val="28"/>
          <w:szCs w:val="28"/>
        </w:rPr>
      </w:pPr>
      <w:bookmarkStart w:id="40" w:name="_Toc237987592"/>
      <w:r>
        <w:rPr>
          <w:rFonts w:hint="eastAsia"/>
          <w:sz w:val="28"/>
          <w:szCs w:val="28"/>
        </w:rPr>
        <w:t>（七）坚持民生为本原则</w:t>
      </w:r>
      <w:bookmarkEnd w:id="40"/>
    </w:p>
    <w:p w14:paraId="4EDE18A4">
      <w:pPr>
        <w:spacing w:line="580" w:lineRule="exact"/>
        <w:ind w:firstLine="560" w:firstLineChars="200"/>
        <w:rPr>
          <w:sz w:val="28"/>
          <w:szCs w:val="28"/>
        </w:rPr>
      </w:pPr>
      <w:r>
        <w:rPr>
          <w:rFonts w:hint="eastAsia"/>
          <w:sz w:val="28"/>
          <w:szCs w:val="28"/>
        </w:rPr>
        <w:t>始终把增加农民收入作为农业、畜牧业发展的根本出发点和落脚点，通过发展特色农业和畜牧业，提高农产品和畜产品的附加值，拓宽农民增收渠道。鼓励农民开展农产品加工、流通、销售等业务，发展休闲农业、乡村旅游等新产业新业态，延长产业链，提升产业附加值，让农民更多地分享产业融合发展的红利。</w:t>
      </w:r>
    </w:p>
    <w:p w14:paraId="58F73B88">
      <w:pPr>
        <w:pStyle w:val="4"/>
        <w:keepLines w:val="0"/>
        <w:topLinePunct/>
        <w:spacing w:before="0" w:after="0" w:line="540" w:lineRule="exact"/>
        <w:ind w:firstLine="590" w:firstLineChars="210"/>
        <w:rPr>
          <w:sz w:val="28"/>
          <w:szCs w:val="28"/>
        </w:rPr>
      </w:pPr>
      <w:bookmarkStart w:id="41" w:name="_Toc237987593"/>
      <w:r>
        <w:rPr>
          <w:rFonts w:hint="eastAsia"/>
          <w:sz w:val="28"/>
          <w:szCs w:val="28"/>
        </w:rPr>
        <w:t>（八）坚持产业融合原则</w:t>
      </w:r>
      <w:bookmarkEnd w:id="41"/>
    </w:p>
    <w:p w14:paraId="333D391B">
      <w:pPr>
        <w:spacing w:line="580" w:lineRule="exact"/>
        <w:ind w:firstLine="560" w:firstLineChars="200"/>
        <w:rPr>
          <w:sz w:val="28"/>
          <w:szCs w:val="28"/>
        </w:rPr>
      </w:pPr>
      <w:r>
        <w:rPr>
          <w:rFonts w:hint="eastAsia"/>
          <w:sz w:val="28"/>
          <w:szCs w:val="28"/>
        </w:rPr>
        <w:t>积极推进农村一二三产业融合发展，以全产业链思维将农业、畜牧业与农产品加工、流通、旅游等产业深度融合，延长产业链，提升附加值，打造“种植-养殖-加工-销售-旅游”一体化发展格局，建设特色产业集群，提升产业附加值和抗风险能力，助力乡村全面振兴。</w:t>
      </w:r>
    </w:p>
    <w:p w14:paraId="7B05E3F9">
      <w:pPr>
        <w:pStyle w:val="3"/>
        <w:widowControl/>
        <w:spacing w:before="0" w:after="0" w:line="600" w:lineRule="exact"/>
        <w:ind w:firstLine="562" w:firstLineChars="200"/>
        <w:rPr>
          <w:rFonts w:ascii="Arial" w:hAnsi="Arial" w:eastAsia="黑体"/>
          <w:bCs w:val="0"/>
          <w:kern w:val="0"/>
          <w:sz w:val="28"/>
          <w:szCs w:val="20"/>
        </w:rPr>
      </w:pPr>
      <w:bookmarkStart w:id="42" w:name="_Toc237987594"/>
      <w:r>
        <w:rPr>
          <w:rFonts w:hint="eastAsia" w:ascii="Arial" w:hAnsi="Arial" w:eastAsia="黑体"/>
          <w:bCs w:val="0"/>
          <w:kern w:val="0"/>
          <w:sz w:val="28"/>
          <w:szCs w:val="20"/>
        </w:rPr>
        <w:t>三、总体目标</w:t>
      </w:r>
      <w:bookmarkEnd w:id="42"/>
    </w:p>
    <w:p w14:paraId="6EBA9E30">
      <w:pPr>
        <w:spacing w:line="580" w:lineRule="exact"/>
        <w:ind w:firstLine="560" w:firstLineChars="200"/>
        <w:rPr>
          <w:sz w:val="28"/>
          <w:szCs w:val="28"/>
        </w:rPr>
      </w:pPr>
      <w:r>
        <w:rPr>
          <w:rFonts w:hint="eastAsia"/>
          <w:sz w:val="28"/>
          <w:szCs w:val="28"/>
        </w:rPr>
        <w:t>对照中共中央、国务院《加快建设农业强国规划（</w:t>
      </w:r>
      <w:r>
        <w:rPr>
          <w:sz w:val="28"/>
          <w:szCs w:val="28"/>
        </w:rPr>
        <w:t>2024</w:t>
      </w:r>
      <w:r>
        <w:rPr>
          <w:rFonts w:hint="eastAsia"/>
          <w:sz w:val="28"/>
          <w:szCs w:val="28"/>
        </w:rPr>
        <w:t>－</w:t>
      </w:r>
      <w:r>
        <w:rPr>
          <w:sz w:val="28"/>
          <w:szCs w:val="28"/>
        </w:rPr>
        <w:t>2035</w:t>
      </w:r>
      <w:r>
        <w:rPr>
          <w:rFonts w:hint="eastAsia"/>
          <w:sz w:val="28"/>
          <w:szCs w:val="28"/>
        </w:rPr>
        <w:t>年）》及和田地区农业规划各项任务、指标要求，科学规划以下发展任务。</w:t>
      </w:r>
    </w:p>
    <w:p w14:paraId="2CD66EBB">
      <w:pPr>
        <w:spacing w:line="580" w:lineRule="exact"/>
        <w:ind w:firstLine="560" w:firstLineChars="200"/>
        <w:rPr>
          <w:sz w:val="28"/>
          <w:szCs w:val="28"/>
        </w:rPr>
      </w:pPr>
      <w:r>
        <w:rPr>
          <w:rFonts w:hint="eastAsia"/>
          <w:sz w:val="28"/>
          <w:szCs w:val="28"/>
        </w:rPr>
        <w:t>粮食综合生产能力。到2030年末确保耕地面积稳定在68.36万亩，优先保障粮食生产用地，粮食播种面积稳定在45万亩以上，粮食综合生产能力达到1</w:t>
      </w:r>
      <w:r>
        <w:rPr>
          <w:sz w:val="28"/>
          <w:szCs w:val="28"/>
        </w:rPr>
        <w:t>9</w:t>
      </w:r>
      <w:r>
        <w:rPr>
          <w:rFonts w:hint="eastAsia"/>
          <w:sz w:val="28"/>
          <w:szCs w:val="28"/>
        </w:rPr>
        <w:t>万吨。提升耕地质量，稳步推进高标准农田建设和中低产田改造，新增高标准农田面积5万亩，粮食高产示范田稳定在2万亩，粮食单产达到400公斤以上，年增长率达到2%；土地碎片化治理面积5万亩，盐碱地治理面积约8.18万亩。</w:t>
      </w:r>
    </w:p>
    <w:p w14:paraId="06EB0A58">
      <w:pPr>
        <w:spacing w:line="580" w:lineRule="exact"/>
        <w:ind w:firstLine="560" w:firstLineChars="200"/>
        <w:rPr>
          <w:sz w:val="28"/>
          <w:szCs w:val="28"/>
        </w:rPr>
      </w:pPr>
      <w:r>
        <w:rPr>
          <w:rFonts w:hint="eastAsia"/>
          <w:sz w:val="28"/>
          <w:szCs w:val="28"/>
        </w:rPr>
        <w:t>抓好设施农业发展，确保“菜篮子”稳产保供；瓜蒌、葛根特色中草药种植合计达到15万亩；雪菊种植面积稳定在1000亩。油料等经济作物综合产值增长20%，推广智能灌溉、物联网监测等数字化技术，节水率提高30%以上。</w:t>
      </w:r>
    </w:p>
    <w:p w14:paraId="73A35656">
      <w:pPr>
        <w:spacing w:line="580" w:lineRule="exact"/>
        <w:ind w:firstLine="560" w:firstLineChars="200"/>
        <w:rPr>
          <w:sz w:val="28"/>
          <w:szCs w:val="28"/>
        </w:rPr>
      </w:pPr>
      <w:r>
        <w:rPr>
          <w:rFonts w:hint="eastAsia"/>
          <w:sz w:val="28"/>
          <w:szCs w:val="28"/>
        </w:rPr>
        <w:t>加快“2+5+N”特色林果总体布局，2030年力争实现林果总产量22万吨，商品果率稳定保持在86%以上。林果种植总面积达到45-50万亩，林果产量每亩增加15-50公斤。其中，薄皮核桃面积达到22.</w:t>
      </w:r>
      <w:r>
        <w:rPr>
          <w:sz w:val="28"/>
          <w:szCs w:val="28"/>
        </w:rPr>
        <w:t>42</w:t>
      </w:r>
      <w:r>
        <w:rPr>
          <w:rFonts w:hint="eastAsia"/>
          <w:sz w:val="28"/>
          <w:szCs w:val="28"/>
        </w:rPr>
        <w:t>万亩，红枣面积达到7-8万亩，杏树面积维持在7-9万亩，石榴面积增长至4-5万亩，葡萄面积扩大到1-1.5万亩。实现林果业总产量20-24万吨，较2024年增长20%-40%。其中，核桃产量3-4万吨，红枣产量3.2</w:t>
      </w:r>
      <w:r>
        <w:rPr>
          <w:sz w:val="28"/>
          <w:szCs w:val="28"/>
        </w:rPr>
        <w:t>–</w:t>
      </w:r>
      <w:r>
        <w:rPr>
          <w:rFonts w:hint="eastAsia"/>
          <w:sz w:val="28"/>
          <w:szCs w:val="28"/>
        </w:rPr>
        <w:t>3.5万吨，杏产量9-10万吨，石榴产量1.8-2万吨，葡萄产量1.5-2万吨。</w:t>
      </w:r>
    </w:p>
    <w:p w14:paraId="5B6B59A1">
      <w:pPr>
        <w:spacing w:line="580" w:lineRule="exact"/>
        <w:ind w:firstLine="560" w:firstLineChars="200"/>
        <w:rPr>
          <w:sz w:val="28"/>
          <w:szCs w:val="28"/>
        </w:rPr>
      </w:pPr>
      <w:r>
        <w:rPr>
          <w:rFonts w:hint="eastAsia"/>
          <w:sz w:val="28"/>
          <w:szCs w:val="28"/>
        </w:rPr>
        <w:t>各类畜禽存栏量实现稳定增长。到2030年，大牲畜存栏量达到6万头以上，其中牛存栏量达5万头以上；全县羊存栏稳定在</w:t>
      </w:r>
      <w:r>
        <w:rPr>
          <w:sz w:val="28"/>
          <w:szCs w:val="28"/>
        </w:rPr>
        <w:t>68</w:t>
      </w:r>
      <w:r>
        <w:rPr>
          <w:rFonts w:hint="eastAsia"/>
          <w:sz w:val="28"/>
          <w:szCs w:val="28"/>
        </w:rPr>
        <w:t>万只（其中皮山红羊达到40万只，和田羊、湖羊等其他品种</w:t>
      </w:r>
      <w:r>
        <w:rPr>
          <w:sz w:val="28"/>
          <w:szCs w:val="28"/>
        </w:rPr>
        <w:t>28</w:t>
      </w:r>
      <w:r>
        <w:rPr>
          <w:rFonts w:hint="eastAsia"/>
          <w:sz w:val="28"/>
          <w:szCs w:val="28"/>
        </w:rPr>
        <w:t>万只）左右；保护地方品种和田青驴稳定在1000头以上。保障饲草料年供应量在120万吨；家禽存栏量达到100万羽以上；兔存栏量达到15万只以上。肉产量方面，总产肉量达到2万吨以上。奶类总产量0.8万吨以上，禽蛋总产量0.3万吨以上。完善畜产品加工产业链，提高畜产品附加值，畜产品加工转化率达到40%-50%。重大动物疫病防控能力显著增强，疫病发生率降低30%-40%。畜禽粪污综合利用率达到70%-80%，实现畜牧业绿色可持续发展。</w:t>
      </w:r>
    </w:p>
    <w:p w14:paraId="271A21BC">
      <w:pPr>
        <w:spacing w:line="580" w:lineRule="exact"/>
        <w:ind w:firstLine="560" w:firstLineChars="200"/>
        <w:rPr>
          <w:sz w:val="28"/>
          <w:szCs w:val="28"/>
        </w:rPr>
      </w:pPr>
      <w:r>
        <w:rPr>
          <w:rFonts w:hint="eastAsia"/>
          <w:sz w:val="28"/>
          <w:szCs w:val="28"/>
        </w:rPr>
        <w:t>农作物耕种收综合机械化率达到88%以上；农业生产信息化率达到30%以上；新型农业经营主体带动农户比例达到60%以上；农产品加工业与农业总产值比达到2.0以上；农村生活污水治理（管控）率达到65%以上；城乡居民收入比缩小至2.5左右；农产品质量安全监测合格率保持在98%以上；农业核心种源自给率达到85%以上。</w:t>
      </w:r>
    </w:p>
    <w:p w14:paraId="0E902A87">
      <w:pPr>
        <w:pStyle w:val="3"/>
        <w:widowControl/>
        <w:spacing w:before="0" w:after="0" w:line="600" w:lineRule="exact"/>
        <w:ind w:firstLine="562" w:firstLineChars="200"/>
        <w:rPr>
          <w:rFonts w:ascii="Arial" w:hAnsi="Arial" w:eastAsia="黑体"/>
          <w:bCs w:val="0"/>
          <w:kern w:val="0"/>
          <w:sz w:val="28"/>
          <w:szCs w:val="20"/>
        </w:rPr>
      </w:pPr>
      <w:bookmarkStart w:id="43" w:name="_Toc237987595"/>
      <w:r>
        <w:rPr>
          <w:rFonts w:hint="eastAsia" w:ascii="Arial" w:hAnsi="Arial" w:eastAsia="黑体"/>
          <w:bCs w:val="0"/>
          <w:kern w:val="0"/>
          <w:sz w:val="28"/>
          <w:szCs w:val="20"/>
        </w:rPr>
        <w:t>四、空间布局与功能分区</w:t>
      </w:r>
      <w:bookmarkEnd w:id="43"/>
    </w:p>
    <w:p w14:paraId="0BB2083C">
      <w:pPr>
        <w:spacing w:line="580" w:lineRule="exact"/>
        <w:ind w:firstLine="560" w:firstLineChars="200"/>
        <w:rPr>
          <w:sz w:val="28"/>
          <w:szCs w:val="28"/>
        </w:rPr>
      </w:pPr>
      <w:r>
        <w:rPr>
          <w:rFonts w:hint="eastAsia"/>
          <w:sz w:val="28"/>
          <w:szCs w:val="28"/>
        </w:rPr>
        <w:t>根据皮山县自然资源禀赋、产业发展基础和生态承载能力，结合县域行政区划和交通条件，“十五五”期间对产业布局进行空间优化与功能分区，围绕“一乡一品”突出特色农副产品发展，形成“一核引领、两带联动、多区协同”的空间发展格局。</w:t>
      </w:r>
    </w:p>
    <w:p w14:paraId="3381076A">
      <w:pPr>
        <w:spacing w:line="580" w:lineRule="exact"/>
        <w:ind w:firstLine="562" w:firstLineChars="200"/>
        <w:rPr>
          <w:b/>
          <w:sz w:val="28"/>
          <w:szCs w:val="28"/>
        </w:rPr>
      </w:pPr>
      <w:r>
        <w:rPr>
          <w:rFonts w:hint="eastAsia"/>
          <w:b/>
          <w:sz w:val="28"/>
          <w:szCs w:val="28"/>
        </w:rPr>
        <w:t>1、一核：现代农业核心区（县城周边）</w:t>
      </w:r>
    </w:p>
    <w:p w14:paraId="3D5330EC">
      <w:pPr>
        <w:spacing w:line="580" w:lineRule="exact"/>
        <w:ind w:firstLine="560" w:firstLineChars="200"/>
        <w:rPr>
          <w:sz w:val="28"/>
          <w:szCs w:val="28"/>
        </w:rPr>
      </w:pPr>
      <w:r>
        <w:rPr>
          <w:rFonts w:hint="eastAsia"/>
          <w:sz w:val="28"/>
          <w:szCs w:val="28"/>
        </w:rPr>
        <w:t>覆盖区域：涵盖固玛镇、木奎拉乡、科克铁热克镇等核心乡镇。</w:t>
      </w:r>
    </w:p>
    <w:p w14:paraId="1C2AA6DD">
      <w:pPr>
        <w:spacing w:line="580" w:lineRule="exact"/>
        <w:ind w:firstLine="560" w:firstLineChars="200"/>
        <w:rPr>
          <w:sz w:val="28"/>
          <w:szCs w:val="28"/>
        </w:rPr>
      </w:pPr>
      <w:r>
        <w:rPr>
          <w:rFonts w:hint="eastAsia"/>
          <w:sz w:val="28"/>
          <w:szCs w:val="28"/>
        </w:rPr>
        <w:t>功能定位：打造集示范、加工、物流于一体的现代农业综合示范区。</w:t>
      </w:r>
    </w:p>
    <w:p w14:paraId="183EADA2">
      <w:pPr>
        <w:spacing w:line="580" w:lineRule="exact"/>
        <w:ind w:firstLine="560" w:firstLineChars="200"/>
        <w:rPr>
          <w:sz w:val="28"/>
          <w:szCs w:val="28"/>
        </w:rPr>
      </w:pPr>
      <w:r>
        <w:rPr>
          <w:rFonts w:hint="eastAsia"/>
          <w:sz w:val="28"/>
          <w:szCs w:val="28"/>
        </w:rPr>
        <w:t>重点任务：建设设施农业产业园，引进符合条件的加工企业，建立农业科技服务中心，发展冷链物流和电商销售平台，打造集示范、加工、物流于一体的现代农业综合示范区。</w:t>
      </w:r>
    </w:p>
    <w:p w14:paraId="6BA34276">
      <w:pPr>
        <w:spacing w:line="580" w:lineRule="exact"/>
        <w:ind w:firstLine="560" w:firstLineChars="200"/>
        <w:rPr>
          <w:sz w:val="28"/>
          <w:szCs w:val="28"/>
        </w:rPr>
      </w:pPr>
      <w:r>
        <w:rPr>
          <w:rFonts w:hint="eastAsia"/>
          <w:sz w:val="28"/>
          <w:szCs w:val="28"/>
        </w:rPr>
        <w:t>建设时序：</w:t>
      </w:r>
    </w:p>
    <w:p w14:paraId="4B938E1A">
      <w:pPr>
        <w:spacing w:line="580" w:lineRule="exact"/>
        <w:ind w:firstLine="560" w:firstLineChars="200"/>
        <w:rPr>
          <w:sz w:val="28"/>
          <w:szCs w:val="28"/>
        </w:rPr>
      </w:pPr>
      <w:r>
        <w:rPr>
          <w:rFonts w:hint="eastAsia"/>
          <w:sz w:val="28"/>
          <w:szCs w:val="28"/>
        </w:rPr>
        <w:t>近期（2026-2027）：完成“皖疆农业科技产业园”规划设计和基础设施启动；建设固玛镇、木奎拉乡设施农业产业园一期工程（各200座日光温室）；建成县乡村三级种苗繁育体系县级中心。</w:t>
      </w:r>
    </w:p>
    <w:p w14:paraId="60BE48AC">
      <w:pPr>
        <w:spacing w:line="580" w:lineRule="exact"/>
        <w:ind w:firstLine="560" w:firstLineChars="200"/>
        <w:rPr>
          <w:sz w:val="28"/>
          <w:szCs w:val="28"/>
        </w:rPr>
      </w:pPr>
      <w:r>
        <w:rPr>
          <w:rFonts w:hint="eastAsia"/>
          <w:sz w:val="28"/>
          <w:szCs w:val="28"/>
        </w:rPr>
        <w:t>中期（2028-2029）：引进3-5家符合条件的企业入驻园区；建成农产品冷链物流集配中心。</w:t>
      </w:r>
    </w:p>
    <w:p w14:paraId="646FE2F5">
      <w:pPr>
        <w:spacing w:line="580" w:lineRule="exact"/>
        <w:ind w:firstLine="560" w:firstLineChars="200"/>
        <w:rPr>
          <w:sz w:val="28"/>
          <w:szCs w:val="28"/>
        </w:rPr>
      </w:pPr>
      <w:r>
        <w:rPr>
          <w:rFonts w:hint="eastAsia"/>
          <w:sz w:val="28"/>
          <w:szCs w:val="28"/>
        </w:rPr>
        <w:t>远期（2030）：核心区实现“生产-加工-物流-电商”全链条贯通。</w:t>
      </w:r>
    </w:p>
    <w:p w14:paraId="509FFBC6">
      <w:pPr>
        <w:spacing w:line="580" w:lineRule="exact"/>
        <w:ind w:firstLine="562" w:firstLineChars="200"/>
        <w:rPr>
          <w:b/>
          <w:sz w:val="28"/>
          <w:szCs w:val="28"/>
        </w:rPr>
      </w:pPr>
      <w:r>
        <w:rPr>
          <w:rFonts w:hint="eastAsia"/>
          <w:b/>
          <w:sz w:val="28"/>
          <w:szCs w:val="28"/>
        </w:rPr>
        <w:t>2、绿洲高效节水农业发展带</w:t>
      </w:r>
    </w:p>
    <w:p w14:paraId="68122303">
      <w:pPr>
        <w:spacing w:line="580" w:lineRule="exact"/>
        <w:ind w:firstLine="560" w:firstLineChars="200"/>
        <w:rPr>
          <w:sz w:val="28"/>
          <w:szCs w:val="28"/>
        </w:rPr>
      </w:pPr>
      <w:r>
        <w:rPr>
          <w:rFonts w:hint="eastAsia"/>
          <w:sz w:val="28"/>
          <w:szCs w:val="28"/>
        </w:rPr>
        <w:t>覆盖区域：包括乔达乡、木吉镇、藏桂乡、皮亚勒玛乡、巴什兰干乡、阔什塔格镇等中部及北部沿绿洲分布的乡镇。以节水农业为核心，重点发展红枣、核桃、石榴、皮山明星杏等特色林果产业。</w:t>
      </w:r>
    </w:p>
    <w:p w14:paraId="389050E8">
      <w:pPr>
        <w:spacing w:line="580" w:lineRule="exact"/>
        <w:ind w:firstLine="560" w:firstLineChars="200"/>
        <w:rPr>
          <w:sz w:val="28"/>
          <w:szCs w:val="28"/>
        </w:rPr>
      </w:pPr>
      <w:r>
        <w:rPr>
          <w:rFonts w:hint="eastAsia"/>
          <w:sz w:val="28"/>
          <w:szCs w:val="28"/>
        </w:rPr>
        <w:t>重点任务：高标准农田改造提升工程；土地碎片化治理工程；高效节水灌溉示范区建设；实施低产园改造工程；扩大苜蓿、玉米饲草种植面积；推动林下经济、生态农业发展。</w:t>
      </w:r>
    </w:p>
    <w:p w14:paraId="6AE7EED5">
      <w:pPr>
        <w:spacing w:line="580" w:lineRule="exact"/>
        <w:ind w:firstLine="560" w:firstLineChars="200"/>
        <w:rPr>
          <w:sz w:val="28"/>
          <w:szCs w:val="28"/>
        </w:rPr>
      </w:pPr>
      <w:r>
        <w:rPr>
          <w:rFonts w:hint="eastAsia"/>
          <w:sz w:val="28"/>
          <w:szCs w:val="28"/>
        </w:rPr>
        <w:t>建设时序：</w:t>
      </w:r>
    </w:p>
    <w:p w14:paraId="7D81B2A1">
      <w:pPr>
        <w:spacing w:line="580" w:lineRule="exact"/>
        <w:ind w:firstLine="560" w:firstLineChars="200"/>
        <w:rPr>
          <w:sz w:val="28"/>
          <w:szCs w:val="28"/>
        </w:rPr>
      </w:pPr>
      <w:r>
        <w:rPr>
          <w:rFonts w:hint="eastAsia"/>
          <w:sz w:val="28"/>
          <w:szCs w:val="28"/>
        </w:rPr>
        <w:t>近期（2026-2027）：优先在木奎拉乡、固玛镇、乔达乡建设20万亩高效节水示范区一期工程（10万亩）；完成藏桂乡、木吉镇高标准农田改造提升2万亩。</w:t>
      </w:r>
    </w:p>
    <w:p w14:paraId="493E9CBE">
      <w:pPr>
        <w:spacing w:line="580" w:lineRule="exact"/>
        <w:ind w:firstLine="560" w:firstLineChars="200"/>
        <w:rPr>
          <w:sz w:val="28"/>
          <w:szCs w:val="28"/>
        </w:rPr>
      </w:pPr>
      <w:r>
        <w:rPr>
          <w:rFonts w:hint="eastAsia"/>
          <w:sz w:val="28"/>
          <w:szCs w:val="28"/>
        </w:rPr>
        <w:t>中期（2028-2029）：完成剩余10万亩高效节水示范区建设；在乔达乡、木吉镇、藏桂乡实施低产果园改造2万亩；扩大苜蓿、玉米饲草料种植面积。</w:t>
      </w:r>
    </w:p>
    <w:p w14:paraId="1D086E6B">
      <w:pPr>
        <w:spacing w:line="580" w:lineRule="exact"/>
        <w:ind w:firstLine="560" w:firstLineChars="200"/>
        <w:rPr>
          <w:sz w:val="28"/>
          <w:szCs w:val="28"/>
        </w:rPr>
      </w:pPr>
      <w:r>
        <w:rPr>
          <w:rFonts w:hint="eastAsia"/>
          <w:sz w:val="28"/>
          <w:szCs w:val="28"/>
        </w:rPr>
        <w:t>远期（2030）：全带实现高效节水灌溉全覆盖，特色林果标准化生产率达到80%。</w:t>
      </w:r>
    </w:p>
    <w:p w14:paraId="2D811BB3">
      <w:pPr>
        <w:spacing w:line="580" w:lineRule="exact"/>
        <w:ind w:firstLine="562" w:firstLineChars="200"/>
        <w:rPr>
          <w:b/>
          <w:sz w:val="28"/>
          <w:szCs w:val="28"/>
        </w:rPr>
      </w:pPr>
      <w:r>
        <w:rPr>
          <w:rFonts w:hint="eastAsia"/>
          <w:b/>
          <w:sz w:val="28"/>
          <w:szCs w:val="28"/>
        </w:rPr>
        <w:t>3、农牧融合产业带</w:t>
      </w:r>
    </w:p>
    <w:p w14:paraId="1006D3F7">
      <w:pPr>
        <w:spacing w:line="580" w:lineRule="exact"/>
        <w:ind w:firstLine="560" w:firstLineChars="200"/>
        <w:rPr>
          <w:sz w:val="28"/>
          <w:szCs w:val="28"/>
        </w:rPr>
      </w:pPr>
      <w:r>
        <w:rPr>
          <w:rFonts w:hint="eastAsia"/>
          <w:sz w:val="28"/>
          <w:szCs w:val="28"/>
        </w:rPr>
        <w:t>覆盖区域：科克铁热克镇、桑株镇、阔什塔格镇、巴什兰干乡、克里阳乡、乔达乡、木吉镇、木奎拉乡、杜瓦镇等乡镇。以畜牧业主导，发展优质草场、规模化养殖等。</w:t>
      </w:r>
    </w:p>
    <w:p w14:paraId="4C3B2E9A">
      <w:pPr>
        <w:spacing w:line="580" w:lineRule="exact"/>
        <w:ind w:firstLine="560" w:firstLineChars="200"/>
        <w:rPr>
          <w:sz w:val="28"/>
          <w:szCs w:val="28"/>
        </w:rPr>
      </w:pPr>
      <w:r>
        <w:rPr>
          <w:rFonts w:hint="eastAsia"/>
          <w:sz w:val="28"/>
          <w:szCs w:val="28"/>
        </w:rPr>
        <w:t>重点任务：畜牧业扩产能工程；饲草料基地建设工程；建设标准化养殖场；畜禽粪污资源化利用工程；建设动物防疫站、兽医实验室；推广“公司+农户”合作模式。</w:t>
      </w:r>
    </w:p>
    <w:p w14:paraId="10F9ABF1">
      <w:pPr>
        <w:spacing w:line="580" w:lineRule="exact"/>
        <w:ind w:firstLine="560" w:firstLineChars="200"/>
        <w:rPr>
          <w:sz w:val="28"/>
          <w:szCs w:val="28"/>
        </w:rPr>
      </w:pPr>
      <w:r>
        <w:rPr>
          <w:rFonts w:hint="eastAsia"/>
          <w:sz w:val="28"/>
          <w:szCs w:val="28"/>
        </w:rPr>
        <w:t>建设时序：</w:t>
      </w:r>
    </w:p>
    <w:p w14:paraId="7F8AC627">
      <w:pPr>
        <w:spacing w:line="580" w:lineRule="exact"/>
        <w:ind w:firstLine="560" w:firstLineChars="200"/>
        <w:rPr>
          <w:sz w:val="28"/>
          <w:szCs w:val="28"/>
        </w:rPr>
      </w:pPr>
      <w:r>
        <w:rPr>
          <w:rFonts w:hint="eastAsia"/>
          <w:sz w:val="28"/>
          <w:szCs w:val="28"/>
        </w:rPr>
        <w:t>近期（2026-2027）：在藏桂乡、科克铁热克镇建设皮山红羊标准化养殖小区各2个；启动畜禽粪污资源化利用整县推进项目。</w:t>
      </w:r>
    </w:p>
    <w:p w14:paraId="3F46EA51">
      <w:pPr>
        <w:spacing w:line="580" w:lineRule="exact"/>
        <w:ind w:firstLine="560" w:firstLineChars="200"/>
        <w:rPr>
          <w:sz w:val="28"/>
          <w:szCs w:val="28"/>
        </w:rPr>
      </w:pPr>
      <w:r>
        <w:rPr>
          <w:rFonts w:hint="eastAsia"/>
          <w:sz w:val="28"/>
          <w:szCs w:val="28"/>
        </w:rPr>
        <w:t>中期（2028-2029）：建成1万亩优质饲草基地核心示范区；完成动物防疫站、兽医实验室达标建设。</w:t>
      </w:r>
    </w:p>
    <w:p w14:paraId="2964500D">
      <w:pPr>
        <w:spacing w:line="580" w:lineRule="exact"/>
        <w:ind w:firstLine="560" w:firstLineChars="200"/>
        <w:rPr>
          <w:sz w:val="28"/>
          <w:szCs w:val="28"/>
        </w:rPr>
      </w:pPr>
      <w:r>
        <w:rPr>
          <w:rFonts w:hint="eastAsia"/>
          <w:sz w:val="28"/>
          <w:szCs w:val="28"/>
        </w:rPr>
        <w:t>远期（2030）：形成“繁育-育肥-加工”一体化产业链，畜禽粪污综合利用率达到70-80%。</w:t>
      </w:r>
    </w:p>
    <w:p w14:paraId="56B32B81">
      <w:pPr>
        <w:spacing w:line="580" w:lineRule="exact"/>
        <w:jc w:val="center"/>
        <w:rPr>
          <w:b/>
          <w:sz w:val="28"/>
          <w:szCs w:val="28"/>
        </w:rPr>
      </w:pPr>
      <w:r>
        <w:rPr>
          <w:rFonts w:hint="eastAsia"/>
          <w:b/>
          <w:sz w:val="28"/>
          <w:szCs w:val="28"/>
        </w:rPr>
        <w:t>表3-1多区协同特色产业功能区</w:t>
      </w:r>
    </w:p>
    <w:tbl>
      <w:tblPr>
        <w:tblStyle w:val="25"/>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3414"/>
        <w:gridCol w:w="3652"/>
      </w:tblGrid>
      <w:tr w14:paraId="5F73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exact"/>
          <w:jc w:val="center"/>
        </w:trPr>
        <w:tc>
          <w:tcPr>
            <w:tcW w:w="1880" w:type="dxa"/>
            <w:shd w:val="clear" w:color="000000" w:fill="FFFFFF"/>
            <w:vAlign w:val="center"/>
          </w:tcPr>
          <w:p w14:paraId="2AE1288A">
            <w:pPr>
              <w:widowControl/>
              <w:jc w:val="center"/>
              <w:rPr>
                <w:rFonts w:ascii="Segoe UI" w:hAnsi="Segoe UI" w:eastAsia="宋体" w:cs="Segoe UI"/>
                <w:b/>
                <w:bCs/>
                <w:kern w:val="0"/>
                <w:sz w:val="18"/>
                <w:szCs w:val="18"/>
              </w:rPr>
            </w:pPr>
            <w:r>
              <w:rPr>
                <w:rFonts w:ascii="Segoe UI" w:hAnsi="Segoe UI" w:eastAsia="宋体" w:cs="Segoe UI"/>
                <w:b/>
                <w:bCs/>
                <w:kern w:val="0"/>
                <w:sz w:val="18"/>
                <w:szCs w:val="18"/>
              </w:rPr>
              <w:t>功能区名称</w:t>
            </w:r>
          </w:p>
        </w:tc>
        <w:tc>
          <w:tcPr>
            <w:tcW w:w="3414" w:type="dxa"/>
            <w:shd w:val="clear" w:color="000000" w:fill="FFFFFF"/>
            <w:vAlign w:val="center"/>
          </w:tcPr>
          <w:p w14:paraId="658BE7DD">
            <w:pPr>
              <w:widowControl/>
              <w:jc w:val="center"/>
              <w:rPr>
                <w:rFonts w:ascii="Segoe UI" w:hAnsi="Segoe UI" w:eastAsia="宋体" w:cs="Segoe UI"/>
                <w:b/>
                <w:bCs/>
                <w:kern w:val="0"/>
                <w:sz w:val="18"/>
                <w:szCs w:val="18"/>
              </w:rPr>
            </w:pPr>
            <w:r>
              <w:rPr>
                <w:rFonts w:ascii="Segoe UI" w:hAnsi="Segoe UI" w:eastAsia="宋体" w:cs="Segoe UI"/>
                <w:b/>
                <w:bCs/>
                <w:kern w:val="0"/>
                <w:sz w:val="18"/>
                <w:szCs w:val="18"/>
              </w:rPr>
              <w:t>主要产业方向</w:t>
            </w:r>
          </w:p>
        </w:tc>
        <w:tc>
          <w:tcPr>
            <w:tcW w:w="3652" w:type="dxa"/>
            <w:shd w:val="clear" w:color="000000" w:fill="FFFFFF"/>
            <w:vAlign w:val="center"/>
          </w:tcPr>
          <w:p w14:paraId="1D5C452F">
            <w:pPr>
              <w:widowControl/>
              <w:jc w:val="center"/>
              <w:rPr>
                <w:rFonts w:ascii="Segoe UI" w:hAnsi="Segoe UI" w:eastAsia="宋体" w:cs="Segoe UI"/>
                <w:b/>
                <w:bCs/>
                <w:kern w:val="0"/>
                <w:sz w:val="18"/>
                <w:szCs w:val="18"/>
              </w:rPr>
            </w:pPr>
            <w:r>
              <w:rPr>
                <w:rFonts w:ascii="Segoe UI" w:hAnsi="Segoe UI" w:eastAsia="宋体" w:cs="Segoe UI"/>
                <w:b/>
                <w:bCs/>
                <w:kern w:val="0"/>
                <w:sz w:val="18"/>
                <w:szCs w:val="18"/>
              </w:rPr>
              <w:t>核心乡镇</w:t>
            </w:r>
          </w:p>
        </w:tc>
      </w:tr>
      <w:tr w14:paraId="6A65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80" w:type="dxa"/>
            <w:shd w:val="clear" w:color="000000" w:fill="FFFFFF"/>
            <w:vAlign w:val="center"/>
          </w:tcPr>
          <w:p w14:paraId="2BF854E2">
            <w:pPr>
              <w:widowControl/>
              <w:rPr>
                <w:rFonts w:ascii="Segoe UI" w:hAnsi="Segoe UI" w:eastAsia="宋体" w:cs="Segoe UI"/>
                <w:kern w:val="0"/>
                <w:sz w:val="18"/>
                <w:szCs w:val="18"/>
              </w:rPr>
            </w:pPr>
            <w:r>
              <w:rPr>
                <w:rFonts w:ascii="Segoe UI" w:hAnsi="Segoe UI" w:eastAsia="宋体" w:cs="Segoe UI"/>
                <w:kern w:val="0"/>
                <w:sz w:val="18"/>
                <w:szCs w:val="18"/>
              </w:rPr>
              <w:t>设施农业示范区</w:t>
            </w:r>
          </w:p>
        </w:tc>
        <w:tc>
          <w:tcPr>
            <w:tcW w:w="3414" w:type="dxa"/>
            <w:shd w:val="clear" w:color="000000" w:fill="FFFFFF"/>
            <w:vAlign w:val="center"/>
          </w:tcPr>
          <w:p w14:paraId="01DD1AC2">
            <w:pPr>
              <w:widowControl/>
              <w:rPr>
                <w:rFonts w:ascii="Segoe UI" w:hAnsi="Segoe UI" w:eastAsia="宋体" w:cs="Segoe UI"/>
                <w:kern w:val="0"/>
                <w:sz w:val="18"/>
                <w:szCs w:val="18"/>
              </w:rPr>
            </w:pPr>
            <w:r>
              <w:rPr>
                <w:rFonts w:ascii="Segoe UI" w:hAnsi="Segoe UI" w:eastAsia="宋体" w:cs="Segoe UI"/>
                <w:kern w:val="0"/>
                <w:sz w:val="18"/>
                <w:szCs w:val="18"/>
              </w:rPr>
              <w:t>蔬菜、水果</w:t>
            </w:r>
            <w:r>
              <w:rPr>
                <w:rFonts w:hint="eastAsia" w:ascii="Segoe UI" w:hAnsi="Segoe UI" w:eastAsia="宋体" w:cs="Segoe UI"/>
                <w:kern w:val="0"/>
                <w:sz w:val="18"/>
                <w:szCs w:val="18"/>
              </w:rPr>
              <w:t>等</w:t>
            </w:r>
          </w:p>
        </w:tc>
        <w:tc>
          <w:tcPr>
            <w:tcW w:w="3652" w:type="dxa"/>
            <w:shd w:val="clear" w:color="000000" w:fill="FFFFFF"/>
            <w:vAlign w:val="center"/>
          </w:tcPr>
          <w:p w14:paraId="72C56393">
            <w:pPr>
              <w:widowControl/>
              <w:rPr>
                <w:rFonts w:ascii="Segoe UI" w:hAnsi="Segoe UI" w:eastAsia="宋体" w:cs="Segoe UI"/>
                <w:kern w:val="0"/>
                <w:sz w:val="18"/>
                <w:szCs w:val="18"/>
              </w:rPr>
            </w:pPr>
            <w:r>
              <w:rPr>
                <w:rFonts w:ascii="Segoe UI" w:hAnsi="Segoe UI" w:eastAsia="宋体" w:cs="Segoe UI"/>
                <w:kern w:val="0"/>
                <w:sz w:val="18"/>
                <w:szCs w:val="18"/>
              </w:rPr>
              <w:t>固玛镇、木奎拉乡</w:t>
            </w:r>
          </w:p>
        </w:tc>
      </w:tr>
      <w:tr w14:paraId="2096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exact"/>
          <w:jc w:val="center"/>
        </w:trPr>
        <w:tc>
          <w:tcPr>
            <w:tcW w:w="1880" w:type="dxa"/>
            <w:shd w:val="clear" w:color="000000" w:fill="FFFFFF"/>
            <w:vAlign w:val="center"/>
          </w:tcPr>
          <w:p w14:paraId="195CFD72">
            <w:pPr>
              <w:widowControl/>
              <w:rPr>
                <w:rFonts w:ascii="Segoe UI" w:hAnsi="Segoe UI" w:eastAsia="宋体" w:cs="Segoe UI"/>
                <w:kern w:val="0"/>
                <w:sz w:val="18"/>
                <w:szCs w:val="18"/>
              </w:rPr>
            </w:pPr>
            <w:r>
              <w:rPr>
                <w:rFonts w:ascii="Segoe UI" w:hAnsi="Segoe UI" w:eastAsia="宋体" w:cs="Segoe UI"/>
                <w:kern w:val="0"/>
                <w:sz w:val="18"/>
                <w:szCs w:val="18"/>
              </w:rPr>
              <w:t>特色林果产业区</w:t>
            </w:r>
          </w:p>
        </w:tc>
        <w:tc>
          <w:tcPr>
            <w:tcW w:w="3414" w:type="dxa"/>
            <w:shd w:val="clear" w:color="000000" w:fill="FFFFFF"/>
            <w:vAlign w:val="center"/>
          </w:tcPr>
          <w:p w14:paraId="12373FF6">
            <w:pPr>
              <w:widowControl/>
              <w:rPr>
                <w:rFonts w:ascii="Segoe UI" w:hAnsi="Segoe UI" w:eastAsia="宋体" w:cs="Segoe UI"/>
                <w:kern w:val="0"/>
                <w:sz w:val="18"/>
                <w:szCs w:val="18"/>
              </w:rPr>
            </w:pPr>
            <w:r>
              <w:rPr>
                <w:rFonts w:ascii="Segoe UI" w:hAnsi="Segoe UI" w:eastAsia="宋体" w:cs="Segoe UI"/>
                <w:kern w:val="0"/>
                <w:sz w:val="18"/>
                <w:szCs w:val="18"/>
              </w:rPr>
              <w:t>红枣、核桃、石榴、杏子等</w:t>
            </w:r>
          </w:p>
        </w:tc>
        <w:tc>
          <w:tcPr>
            <w:tcW w:w="3652" w:type="dxa"/>
            <w:shd w:val="clear" w:color="000000" w:fill="FFFFFF"/>
            <w:vAlign w:val="center"/>
          </w:tcPr>
          <w:p w14:paraId="6AC35F61">
            <w:pPr>
              <w:widowControl/>
              <w:rPr>
                <w:rFonts w:ascii="Segoe UI" w:hAnsi="Segoe UI" w:eastAsia="宋体" w:cs="Segoe UI"/>
                <w:kern w:val="0"/>
                <w:sz w:val="18"/>
                <w:szCs w:val="18"/>
              </w:rPr>
            </w:pPr>
            <w:r>
              <w:rPr>
                <w:rFonts w:ascii="Segoe UI" w:hAnsi="Segoe UI" w:eastAsia="宋体" w:cs="Segoe UI"/>
                <w:kern w:val="0"/>
                <w:sz w:val="18"/>
                <w:szCs w:val="18"/>
              </w:rPr>
              <w:t>乔达</w:t>
            </w:r>
            <w:r>
              <w:rPr>
                <w:rFonts w:hint="eastAsia" w:ascii="Segoe UI" w:hAnsi="Segoe UI" w:eastAsia="宋体" w:cs="Segoe UI"/>
                <w:kern w:val="0"/>
                <w:sz w:val="18"/>
                <w:szCs w:val="18"/>
              </w:rPr>
              <w:t>乡</w:t>
            </w:r>
            <w:r>
              <w:rPr>
                <w:rFonts w:ascii="Segoe UI" w:hAnsi="Segoe UI" w:eastAsia="宋体" w:cs="Segoe UI"/>
                <w:kern w:val="0"/>
                <w:sz w:val="18"/>
                <w:szCs w:val="18"/>
              </w:rPr>
              <w:t>、木吉镇</w:t>
            </w:r>
            <w:r>
              <w:rPr>
                <w:rFonts w:hint="eastAsia" w:ascii="Segoe UI" w:hAnsi="Segoe UI" w:eastAsia="宋体" w:cs="Segoe UI"/>
                <w:kern w:val="0"/>
                <w:sz w:val="18"/>
                <w:szCs w:val="18"/>
              </w:rPr>
              <w:t>、</w:t>
            </w:r>
            <w:r>
              <w:rPr>
                <w:rFonts w:ascii="Segoe UI" w:hAnsi="Segoe UI" w:eastAsia="宋体" w:cs="Segoe UI"/>
                <w:kern w:val="0"/>
                <w:sz w:val="18"/>
                <w:szCs w:val="18"/>
              </w:rPr>
              <w:t>藏桂乡</w:t>
            </w:r>
            <w:r>
              <w:rPr>
                <w:rFonts w:hint="eastAsia" w:ascii="Segoe UI" w:hAnsi="Segoe UI" w:eastAsia="宋体" w:cs="Segoe UI"/>
                <w:kern w:val="0"/>
                <w:sz w:val="18"/>
                <w:szCs w:val="18"/>
              </w:rPr>
              <w:t>、皮亚勒玛乡、</w:t>
            </w:r>
            <w:r>
              <w:rPr>
                <w:rFonts w:ascii="Segoe UI" w:hAnsi="Segoe UI" w:eastAsia="宋体" w:cs="Segoe UI"/>
                <w:kern w:val="0"/>
                <w:sz w:val="18"/>
                <w:szCs w:val="18"/>
              </w:rPr>
              <w:t>巴什兰干乡、阔什塔格镇</w:t>
            </w:r>
          </w:p>
        </w:tc>
      </w:tr>
      <w:tr w14:paraId="44C57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exact"/>
          <w:jc w:val="center"/>
        </w:trPr>
        <w:tc>
          <w:tcPr>
            <w:tcW w:w="1880" w:type="dxa"/>
            <w:shd w:val="clear" w:color="000000" w:fill="FFFFFF"/>
            <w:vAlign w:val="center"/>
          </w:tcPr>
          <w:p w14:paraId="367A3A34">
            <w:pPr>
              <w:widowControl/>
              <w:rPr>
                <w:rFonts w:ascii="Segoe UI" w:hAnsi="Segoe UI" w:eastAsia="宋体" w:cs="Segoe UI"/>
                <w:kern w:val="0"/>
                <w:sz w:val="18"/>
                <w:szCs w:val="18"/>
              </w:rPr>
            </w:pPr>
            <w:r>
              <w:rPr>
                <w:rFonts w:ascii="Segoe UI" w:hAnsi="Segoe UI" w:eastAsia="宋体" w:cs="Segoe UI"/>
                <w:kern w:val="0"/>
                <w:sz w:val="18"/>
                <w:szCs w:val="18"/>
              </w:rPr>
              <w:t>畜禽养殖集聚区</w:t>
            </w:r>
          </w:p>
        </w:tc>
        <w:tc>
          <w:tcPr>
            <w:tcW w:w="3414" w:type="dxa"/>
            <w:shd w:val="clear" w:color="000000" w:fill="FFFFFF"/>
            <w:vAlign w:val="center"/>
          </w:tcPr>
          <w:p w14:paraId="0F10DCE2">
            <w:pPr>
              <w:widowControl/>
              <w:rPr>
                <w:rFonts w:ascii="Segoe UI" w:hAnsi="Segoe UI" w:eastAsia="宋体" w:cs="Segoe UI"/>
                <w:kern w:val="0"/>
                <w:sz w:val="18"/>
                <w:szCs w:val="18"/>
              </w:rPr>
            </w:pPr>
            <w:r>
              <w:rPr>
                <w:rFonts w:ascii="Segoe UI" w:hAnsi="Segoe UI" w:eastAsia="宋体" w:cs="Segoe UI"/>
                <w:kern w:val="0"/>
                <w:sz w:val="18"/>
                <w:szCs w:val="18"/>
              </w:rPr>
              <w:t>肉羊、肉牛</w:t>
            </w:r>
            <w:r>
              <w:rPr>
                <w:rFonts w:hint="eastAsia" w:ascii="Segoe UI" w:hAnsi="Segoe UI" w:eastAsia="宋体" w:cs="Segoe UI"/>
                <w:kern w:val="0"/>
                <w:sz w:val="18"/>
                <w:szCs w:val="18"/>
              </w:rPr>
              <w:t>等</w:t>
            </w:r>
            <w:r>
              <w:rPr>
                <w:rFonts w:ascii="Segoe UI" w:hAnsi="Segoe UI" w:eastAsia="宋体" w:cs="Segoe UI"/>
                <w:kern w:val="0"/>
                <w:sz w:val="18"/>
                <w:szCs w:val="18"/>
              </w:rPr>
              <w:t>养殖</w:t>
            </w:r>
          </w:p>
        </w:tc>
        <w:tc>
          <w:tcPr>
            <w:tcW w:w="3652" w:type="dxa"/>
            <w:shd w:val="clear" w:color="000000" w:fill="FFFFFF"/>
            <w:vAlign w:val="center"/>
          </w:tcPr>
          <w:p w14:paraId="66B1BAE4">
            <w:pPr>
              <w:widowControl/>
              <w:spacing w:line="240" w:lineRule="atLeast"/>
              <w:rPr>
                <w:rFonts w:ascii="Segoe UI" w:hAnsi="Segoe UI" w:eastAsia="宋体" w:cs="Segoe UI"/>
                <w:kern w:val="0"/>
                <w:sz w:val="18"/>
                <w:szCs w:val="18"/>
              </w:rPr>
            </w:pPr>
            <w:r>
              <w:rPr>
                <w:rFonts w:hint="eastAsia" w:ascii="Segoe UI" w:hAnsi="Segoe UI" w:eastAsia="宋体" w:cs="Segoe UI"/>
                <w:kern w:val="0"/>
                <w:sz w:val="18"/>
                <w:szCs w:val="18"/>
              </w:rPr>
              <w:t>藏桂乡、</w:t>
            </w:r>
            <w:r>
              <w:rPr>
                <w:rFonts w:ascii="Segoe UI" w:hAnsi="Segoe UI" w:eastAsia="宋体" w:cs="Segoe UI"/>
                <w:kern w:val="0"/>
                <w:sz w:val="18"/>
                <w:szCs w:val="18"/>
              </w:rPr>
              <w:t>科克铁热克</w:t>
            </w:r>
            <w:r>
              <w:rPr>
                <w:rFonts w:hint="eastAsia" w:ascii="Segoe UI" w:hAnsi="Segoe UI" w:eastAsia="宋体" w:cs="Segoe UI"/>
                <w:kern w:val="0"/>
                <w:sz w:val="18"/>
                <w:szCs w:val="18"/>
              </w:rPr>
              <w:t>镇、桑株镇、阔什塔格镇、巴什兰干乡、克里阳乡、乔达乡、木吉镇、木奎拉乡、杜瓦镇等乡镇</w:t>
            </w:r>
          </w:p>
        </w:tc>
      </w:tr>
      <w:tr w14:paraId="611D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exact"/>
          <w:jc w:val="center"/>
        </w:trPr>
        <w:tc>
          <w:tcPr>
            <w:tcW w:w="1880" w:type="dxa"/>
            <w:tcBorders>
              <w:bottom w:val="single" w:color="auto" w:sz="4" w:space="0"/>
            </w:tcBorders>
            <w:shd w:val="clear" w:color="000000" w:fill="FFFFFF"/>
            <w:vAlign w:val="center"/>
          </w:tcPr>
          <w:p w14:paraId="74122A65">
            <w:pPr>
              <w:widowControl/>
              <w:rPr>
                <w:rFonts w:ascii="Segoe UI" w:hAnsi="Segoe UI" w:eastAsia="宋体" w:cs="Segoe UI"/>
                <w:kern w:val="0"/>
                <w:sz w:val="18"/>
                <w:szCs w:val="18"/>
              </w:rPr>
            </w:pPr>
            <w:r>
              <w:rPr>
                <w:rFonts w:ascii="Segoe UI" w:hAnsi="Segoe UI" w:eastAsia="宋体" w:cs="Segoe UI"/>
                <w:kern w:val="0"/>
                <w:sz w:val="18"/>
                <w:szCs w:val="18"/>
              </w:rPr>
              <w:t>饲草料生产基地</w:t>
            </w:r>
          </w:p>
        </w:tc>
        <w:tc>
          <w:tcPr>
            <w:tcW w:w="3414" w:type="dxa"/>
            <w:tcBorders>
              <w:bottom w:val="single" w:color="auto" w:sz="4" w:space="0"/>
            </w:tcBorders>
            <w:shd w:val="clear" w:color="000000" w:fill="FFFFFF"/>
            <w:vAlign w:val="center"/>
          </w:tcPr>
          <w:p w14:paraId="2CAF827E">
            <w:pPr>
              <w:widowControl/>
              <w:rPr>
                <w:rFonts w:ascii="Segoe UI" w:hAnsi="Segoe UI" w:eastAsia="宋体" w:cs="Segoe UI"/>
                <w:kern w:val="0"/>
                <w:sz w:val="18"/>
                <w:szCs w:val="18"/>
              </w:rPr>
            </w:pPr>
            <w:r>
              <w:rPr>
                <w:rFonts w:ascii="Segoe UI" w:hAnsi="Segoe UI" w:eastAsia="宋体" w:cs="Segoe UI"/>
                <w:kern w:val="0"/>
                <w:sz w:val="18"/>
                <w:szCs w:val="18"/>
              </w:rPr>
              <w:t>苜蓿、玉米种植</w:t>
            </w:r>
          </w:p>
        </w:tc>
        <w:tc>
          <w:tcPr>
            <w:tcW w:w="3652" w:type="dxa"/>
            <w:tcBorders>
              <w:bottom w:val="single" w:color="auto" w:sz="4" w:space="0"/>
            </w:tcBorders>
            <w:shd w:val="clear" w:color="000000" w:fill="FFFFFF"/>
            <w:vAlign w:val="center"/>
          </w:tcPr>
          <w:p w14:paraId="17971939">
            <w:pPr>
              <w:widowControl/>
              <w:rPr>
                <w:rFonts w:ascii="Segoe UI" w:hAnsi="Segoe UI" w:eastAsia="宋体" w:cs="Segoe UI"/>
                <w:kern w:val="0"/>
                <w:sz w:val="18"/>
                <w:szCs w:val="18"/>
              </w:rPr>
            </w:pPr>
            <w:r>
              <w:rPr>
                <w:rFonts w:hint="eastAsia" w:ascii="Segoe UI" w:hAnsi="Segoe UI" w:eastAsia="宋体" w:cs="Segoe UI"/>
                <w:kern w:val="0"/>
                <w:sz w:val="18"/>
                <w:szCs w:val="18"/>
              </w:rPr>
              <w:t>科克铁热克镇、克里阳乡、木吉镇、桑株镇、木奎拉乡</w:t>
            </w:r>
          </w:p>
        </w:tc>
      </w:tr>
      <w:tr w14:paraId="3D51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exact"/>
          <w:jc w:val="center"/>
        </w:trPr>
        <w:tc>
          <w:tcPr>
            <w:tcW w:w="1880" w:type="dxa"/>
            <w:shd w:val="clear" w:color="000000" w:fill="FFFFFF"/>
            <w:vAlign w:val="center"/>
          </w:tcPr>
          <w:p w14:paraId="121DBCA8">
            <w:pPr>
              <w:widowControl/>
              <w:rPr>
                <w:rFonts w:ascii="Segoe UI" w:hAnsi="Segoe UI" w:eastAsia="宋体" w:cs="Segoe UI"/>
                <w:kern w:val="0"/>
                <w:sz w:val="18"/>
                <w:szCs w:val="18"/>
              </w:rPr>
            </w:pPr>
            <w:r>
              <w:rPr>
                <w:rFonts w:ascii="Segoe UI" w:hAnsi="Segoe UI" w:eastAsia="宋体" w:cs="Segoe UI"/>
                <w:kern w:val="0"/>
                <w:sz w:val="18"/>
                <w:szCs w:val="18"/>
              </w:rPr>
              <w:t>农产品加工物流区</w:t>
            </w:r>
          </w:p>
        </w:tc>
        <w:tc>
          <w:tcPr>
            <w:tcW w:w="3414" w:type="dxa"/>
            <w:shd w:val="clear" w:color="000000" w:fill="FFFFFF"/>
            <w:vAlign w:val="center"/>
          </w:tcPr>
          <w:p w14:paraId="1ADE9F84">
            <w:pPr>
              <w:widowControl/>
              <w:rPr>
                <w:rFonts w:ascii="Segoe UI" w:hAnsi="Segoe UI" w:eastAsia="宋体" w:cs="Segoe UI"/>
                <w:kern w:val="0"/>
                <w:sz w:val="18"/>
                <w:szCs w:val="18"/>
              </w:rPr>
            </w:pPr>
            <w:r>
              <w:rPr>
                <w:rFonts w:ascii="Segoe UI" w:hAnsi="Segoe UI" w:eastAsia="宋体" w:cs="Segoe UI"/>
                <w:kern w:val="0"/>
                <w:sz w:val="18"/>
                <w:szCs w:val="18"/>
              </w:rPr>
              <w:t>果蔬干制、肉类加工、乳制品加工</w:t>
            </w:r>
          </w:p>
        </w:tc>
        <w:tc>
          <w:tcPr>
            <w:tcW w:w="3652" w:type="dxa"/>
            <w:shd w:val="clear" w:color="000000" w:fill="FFFFFF"/>
            <w:vAlign w:val="center"/>
          </w:tcPr>
          <w:p w14:paraId="6EACFCCB">
            <w:pPr>
              <w:widowControl/>
              <w:rPr>
                <w:rFonts w:ascii="Segoe UI" w:hAnsi="Segoe UI" w:eastAsia="宋体" w:cs="Segoe UI"/>
                <w:kern w:val="0"/>
                <w:sz w:val="18"/>
                <w:szCs w:val="18"/>
              </w:rPr>
            </w:pPr>
            <w:r>
              <w:rPr>
                <w:rFonts w:ascii="Segoe UI" w:hAnsi="Segoe UI" w:eastAsia="宋体" w:cs="Segoe UI"/>
                <w:kern w:val="0"/>
                <w:sz w:val="18"/>
                <w:szCs w:val="18"/>
              </w:rPr>
              <w:t>皮山三峡工业园区</w:t>
            </w:r>
          </w:p>
        </w:tc>
      </w:tr>
    </w:tbl>
    <w:p w14:paraId="2F9060C5">
      <w:pPr>
        <w:jc w:val="center"/>
        <w:rPr>
          <w:sz w:val="28"/>
          <w:szCs w:val="28"/>
        </w:rPr>
      </w:pPr>
    </w:p>
    <w:p w14:paraId="1912BACC">
      <w:pPr>
        <w:jc w:val="center"/>
        <w:rPr>
          <w:sz w:val="28"/>
          <w:szCs w:val="28"/>
        </w:rPr>
      </w:pPr>
      <w:r>
        <w:drawing>
          <wp:inline distT="0" distB="0" distL="0" distR="0">
            <wp:extent cx="5543550" cy="3676015"/>
            <wp:effectExtent l="0" t="0" r="0" b="635"/>
            <wp:docPr id="18378758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875870" name="图片 1"/>
                    <pic:cNvPicPr>
                      <a:picLocks noChangeAspect="1"/>
                    </pic:cNvPicPr>
                  </pic:nvPicPr>
                  <pic:blipFill>
                    <a:blip r:embed="rId8"/>
                    <a:stretch>
                      <a:fillRect/>
                    </a:stretch>
                  </pic:blipFill>
                  <pic:spPr>
                    <a:xfrm>
                      <a:off x="0" y="0"/>
                      <a:ext cx="5543550" cy="3676015"/>
                    </a:xfrm>
                    <a:prstGeom prst="rect">
                      <a:avLst/>
                    </a:prstGeom>
                  </pic:spPr>
                </pic:pic>
              </a:graphicData>
            </a:graphic>
          </wp:inline>
        </w:drawing>
      </w:r>
    </w:p>
    <w:p w14:paraId="6EB338C6">
      <w:pPr>
        <w:jc w:val="center"/>
        <w:rPr>
          <w:b/>
          <w:sz w:val="28"/>
          <w:szCs w:val="28"/>
        </w:rPr>
      </w:pPr>
      <w:r>
        <w:rPr>
          <w:rFonts w:hint="eastAsia"/>
          <w:b/>
          <w:sz w:val="28"/>
          <w:szCs w:val="28"/>
        </w:rPr>
        <w:t>图3-1设施农业示范区示意图</w:t>
      </w:r>
    </w:p>
    <w:p w14:paraId="2E0A626C">
      <w:pPr>
        <w:jc w:val="center"/>
        <w:rPr>
          <w:sz w:val="28"/>
          <w:szCs w:val="28"/>
        </w:rPr>
      </w:pPr>
      <w:r>
        <w:drawing>
          <wp:inline distT="0" distB="0" distL="0" distR="0">
            <wp:extent cx="5543550" cy="3683000"/>
            <wp:effectExtent l="0" t="0" r="0" b="0"/>
            <wp:docPr id="9083479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347908" name="图片 1"/>
                    <pic:cNvPicPr>
                      <a:picLocks noChangeAspect="1"/>
                    </pic:cNvPicPr>
                  </pic:nvPicPr>
                  <pic:blipFill>
                    <a:blip r:embed="rId9"/>
                    <a:stretch>
                      <a:fillRect/>
                    </a:stretch>
                  </pic:blipFill>
                  <pic:spPr>
                    <a:xfrm>
                      <a:off x="0" y="0"/>
                      <a:ext cx="5543550" cy="3683000"/>
                    </a:xfrm>
                    <a:prstGeom prst="rect">
                      <a:avLst/>
                    </a:prstGeom>
                  </pic:spPr>
                </pic:pic>
              </a:graphicData>
            </a:graphic>
          </wp:inline>
        </w:drawing>
      </w:r>
    </w:p>
    <w:p w14:paraId="613D2E02">
      <w:pPr>
        <w:jc w:val="center"/>
        <w:rPr>
          <w:b/>
          <w:sz w:val="28"/>
          <w:szCs w:val="28"/>
        </w:rPr>
      </w:pPr>
      <w:r>
        <w:rPr>
          <w:rFonts w:hint="eastAsia"/>
          <w:b/>
          <w:sz w:val="28"/>
          <w:szCs w:val="28"/>
        </w:rPr>
        <w:t>图3-2特色林果产业区示意图</w:t>
      </w:r>
    </w:p>
    <w:p w14:paraId="34A39185">
      <w:pPr>
        <w:jc w:val="center"/>
        <w:rPr>
          <w:sz w:val="28"/>
          <w:szCs w:val="28"/>
        </w:rPr>
      </w:pPr>
      <w:r>
        <w:drawing>
          <wp:inline distT="0" distB="0" distL="0" distR="0">
            <wp:extent cx="5543550" cy="3710305"/>
            <wp:effectExtent l="0" t="0" r="0" b="4445"/>
            <wp:docPr id="12877711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771108" name="图片 1"/>
                    <pic:cNvPicPr>
                      <a:picLocks noChangeAspect="1"/>
                    </pic:cNvPicPr>
                  </pic:nvPicPr>
                  <pic:blipFill>
                    <a:blip r:embed="rId10"/>
                    <a:stretch>
                      <a:fillRect/>
                    </a:stretch>
                  </pic:blipFill>
                  <pic:spPr>
                    <a:xfrm>
                      <a:off x="0" y="0"/>
                      <a:ext cx="5543550" cy="3710305"/>
                    </a:xfrm>
                    <a:prstGeom prst="rect">
                      <a:avLst/>
                    </a:prstGeom>
                  </pic:spPr>
                </pic:pic>
              </a:graphicData>
            </a:graphic>
          </wp:inline>
        </w:drawing>
      </w:r>
    </w:p>
    <w:p w14:paraId="3272AAE5">
      <w:pPr>
        <w:jc w:val="center"/>
        <w:rPr>
          <w:b/>
          <w:sz w:val="28"/>
          <w:szCs w:val="28"/>
        </w:rPr>
      </w:pPr>
      <w:r>
        <w:rPr>
          <w:rFonts w:hint="eastAsia"/>
          <w:b/>
          <w:sz w:val="28"/>
          <w:szCs w:val="28"/>
        </w:rPr>
        <w:t>图3-3畜禽养殖集聚区示意图</w:t>
      </w:r>
    </w:p>
    <w:p w14:paraId="46CB4EA6">
      <w:pPr>
        <w:jc w:val="center"/>
        <w:rPr>
          <w:sz w:val="28"/>
          <w:szCs w:val="28"/>
        </w:rPr>
      </w:pPr>
      <w:r>
        <w:drawing>
          <wp:inline distT="0" distB="0" distL="0" distR="0">
            <wp:extent cx="5543550" cy="3676015"/>
            <wp:effectExtent l="0" t="0" r="0" b="635"/>
            <wp:docPr id="4722348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34840" name="图片 1"/>
                    <pic:cNvPicPr>
                      <a:picLocks noChangeAspect="1"/>
                    </pic:cNvPicPr>
                  </pic:nvPicPr>
                  <pic:blipFill>
                    <a:blip r:embed="rId11"/>
                    <a:stretch>
                      <a:fillRect/>
                    </a:stretch>
                  </pic:blipFill>
                  <pic:spPr>
                    <a:xfrm>
                      <a:off x="0" y="0"/>
                      <a:ext cx="5543550" cy="3676015"/>
                    </a:xfrm>
                    <a:prstGeom prst="rect">
                      <a:avLst/>
                    </a:prstGeom>
                  </pic:spPr>
                </pic:pic>
              </a:graphicData>
            </a:graphic>
          </wp:inline>
        </w:drawing>
      </w:r>
    </w:p>
    <w:p w14:paraId="7C7249A2">
      <w:pPr>
        <w:jc w:val="center"/>
        <w:rPr>
          <w:b/>
          <w:sz w:val="28"/>
          <w:szCs w:val="28"/>
        </w:rPr>
      </w:pPr>
      <w:r>
        <w:rPr>
          <w:rFonts w:hint="eastAsia"/>
          <w:b/>
          <w:sz w:val="28"/>
          <w:szCs w:val="28"/>
        </w:rPr>
        <w:t>图3-4饲草料生产基地示意图</w:t>
      </w:r>
    </w:p>
    <w:p w14:paraId="03626E6B">
      <w:pPr>
        <w:jc w:val="center"/>
        <w:rPr>
          <w:sz w:val="28"/>
          <w:szCs w:val="28"/>
        </w:rPr>
      </w:pPr>
      <w:r>
        <w:drawing>
          <wp:inline distT="0" distB="0" distL="0" distR="0">
            <wp:extent cx="5543550" cy="3715385"/>
            <wp:effectExtent l="0" t="0" r="0" b="0"/>
            <wp:docPr id="20581929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92973" name="图片 1"/>
                    <pic:cNvPicPr>
                      <a:picLocks noChangeAspect="1"/>
                    </pic:cNvPicPr>
                  </pic:nvPicPr>
                  <pic:blipFill>
                    <a:blip r:embed="rId12"/>
                    <a:stretch>
                      <a:fillRect/>
                    </a:stretch>
                  </pic:blipFill>
                  <pic:spPr>
                    <a:xfrm>
                      <a:off x="0" y="0"/>
                      <a:ext cx="5543550" cy="3715385"/>
                    </a:xfrm>
                    <a:prstGeom prst="rect">
                      <a:avLst/>
                    </a:prstGeom>
                  </pic:spPr>
                </pic:pic>
              </a:graphicData>
            </a:graphic>
          </wp:inline>
        </w:drawing>
      </w:r>
    </w:p>
    <w:p w14:paraId="7C9F4585">
      <w:pPr>
        <w:jc w:val="center"/>
        <w:rPr>
          <w:sz w:val="28"/>
          <w:szCs w:val="28"/>
        </w:rPr>
      </w:pPr>
      <w:r>
        <w:rPr>
          <w:rFonts w:hint="eastAsia"/>
          <w:b/>
          <w:sz w:val="28"/>
          <w:szCs w:val="28"/>
        </w:rPr>
        <w:t>图3-5 农产品加工物流区示意图</w:t>
      </w:r>
    </w:p>
    <w:p w14:paraId="504ADDE6">
      <w:pPr>
        <w:pStyle w:val="3"/>
        <w:widowControl/>
        <w:spacing w:before="0" w:after="0" w:line="600" w:lineRule="exact"/>
        <w:ind w:firstLine="562" w:firstLineChars="200"/>
        <w:rPr>
          <w:rFonts w:ascii="Arial" w:hAnsi="Arial" w:eastAsia="黑体"/>
          <w:bCs w:val="0"/>
          <w:kern w:val="0"/>
          <w:sz w:val="28"/>
          <w:szCs w:val="20"/>
        </w:rPr>
      </w:pPr>
      <w:bookmarkStart w:id="44" w:name="_Toc237987596"/>
      <w:r>
        <w:rPr>
          <w:rFonts w:hint="eastAsia" w:ascii="Arial" w:hAnsi="Arial" w:eastAsia="黑体"/>
          <w:bCs w:val="0"/>
          <w:kern w:val="0"/>
          <w:sz w:val="28"/>
          <w:szCs w:val="20"/>
        </w:rPr>
        <w:t>五、</w:t>
      </w:r>
      <w:bookmarkStart w:id="45" w:name="OLE_LINK30"/>
      <w:bookmarkStart w:id="46" w:name="OLE_LINK27"/>
      <w:r>
        <w:rPr>
          <w:rFonts w:hint="eastAsia" w:ascii="Arial" w:hAnsi="Arial" w:eastAsia="黑体"/>
          <w:bCs w:val="0"/>
          <w:kern w:val="0"/>
          <w:sz w:val="28"/>
          <w:szCs w:val="20"/>
        </w:rPr>
        <w:t>农业规划目标与布局</w:t>
      </w:r>
      <w:bookmarkEnd w:id="44"/>
      <w:bookmarkEnd w:id="45"/>
      <w:bookmarkEnd w:id="46"/>
    </w:p>
    <w:p w14:paraId="3210CF32">
      <w:pPr>
        <w:pStyle w:val="4"/>
        <w:keepLines w:val="0"/>
        <w:topLinePunct/>
        <w:spacing w:before="0" w:after="0" w:line="540" w:lineRule="exact"/>
        <w:ind w:firstLine="590" w:firstLineChars="210"/>
        <w:rPr>
          <w:sz w:val="28"/>
          <w:szCs w:val="28"/>
        </w:rPr>
      </w:pPr>
      <w:bookmarkStart w:id="47" w:name="_Toc237987597"/>
      <w:r>
        <w:rPr>
          <w:rFonts w:hint="eastAsia"/>
          <w:sz w:val="28"/>
          <w:szCs w:val="28"/>
        </w:rPr>
        <w:t>（一）粮食安全与高效生产</w:t>
      </w:r>
      <w:bookmarkEnd w:id="47"/>
    </w:p>
    <w:p w14:paraId="06AFC82C">
      <w:pPr>
        <w:spacing w:line="580" w:lineRule="exact"/>
        <w:ind w:firstLine="560" w:firstLineChars="200"/>
        <w:rPr>
          <w:sz w:val="28"/>
          <w:szCs w:val="28"/>
        </w:rPr>
      </w:pPr>
      <w:r>
        <w:rPr>
          <w:rFonts w:hint="eastAsia"/>
          <w:sz w:val="28"/>
          <w:szCs w:val="28"/>
        </w:rPr>
        <w:t>构建更高水平的粮食安全保障体系，实现粮食稳产增产、提质增效，确保皮山县粮食安全与产业链供应链稳定。通过系统性思维，构建覆盖“生产—加工—储备—消费”全链条；以科技驱动生产，突出良种、智能仓储、数字化监管等技术应用；以市场为导向，兼顾安全与效益，提升产业竞争力；立足可持续发展，注重资源循环利用与节粮减损。</w:t>
      </w:r>
    </w:p>
    <w:p w14:paraId="6ADB2503">
      <w:pPr>
        <w:spacing w:line="580" w:lineRule="exact"/>
        <w:ind w:firstLine="560" w:firstLineChars="200"/>
        <w:rPr>
          <w:sz w:val="28"/>
          <w:szCs w:val="28"/>
        </w:rPr>
      </w:pPr>
      <w:r>
        <w:rPr>
          <w:rFonts w:hint="eastAsia"/>
          <w:sz w:val="28"/>
          <w:szCs w:val="28"/>
        </w:rPr>
        <w:t>1、夯实生产基础，提升单产与品质</w:t>
      </w:r>
    </w:p>
    <w:p w14:paraId="64D2593B">
      <w:pPr>
        <w:spacing w:line="580" w:lineRule="exact"/>
        <w:ind w:firstLine="560" w:firstLineChars="200"/>
        <w:rPr>
          <w:sz w:val="28"/>
          <w:szCs w:val="28"/>
        </w:rPr>
      </w:pPr>
      <w:r>
        <w:rPr>
          <w:rFonts w:hint="eastAsia"/>
          <w:sz w:val="28"/>
          <w:szCs w:val="28"/>
        </w:rPr>
        <w:t>1）严守耕地红线</w:t>
      </w:r>
    </w:p>
    <w:p w14:paraId="3EE2723B">
      <w:pPr>
        <w:spacing w:line="580" w:lineRule="exact"/>
        <w:ind w:firstLine="560" w:firstLineChars="200"/>
        <w:rPr>
          <w:sz w:val="28"/>
          <w:szCs w:val="28"/>
        </w:rPr>
      </w:pPr>
      <w:r>
        <w:rPr>
          <w:rFonts w:hint="eastAsia"/>
          <w:sz w:val="28"/>
          <w:szCs w:val="28"/>
        </w:rPr>
        <w:t>执行最严格的耕地保护制度，强化数量、质量、生态“三位一体”保护，严守数量红线，全面落实耕地保护责任制，坚决遏制耕地“非农化”、防止“非粮化”。2026年到2030年确保耕地面积稳定在68.36万亩，优先保障粮食生产用地，提升耕地质量，稳步推进高标准农田建设和中低产田改造，2026年到2030年新增高标准农田面积5万亩，土地碎片化治理面积5万亩，盐碱地治理面积约8.18万亩，实施耕地质量保护与提升行动，加强农田水利等基础设施建设，提升土壤肥力和可持续生产能力，土壤肥力提高一个等级。统筹耕地保护与生态建设，推行耕地轮作休耕制度，防治农业面源污染，实现耕地资源的永续利用。</w:t>
      </w:r>
    </w:p>
    <w:p w14:paraId="300A97DE">
      <w:pPr>
        <w:spacing w:line="580" w:lineRule="exact"/>
        <w:ind w:firstLine="560" w:firstLineChars="200"/>
        <w:rPr>
          <w:sz w:val="28"/>
          <w:szCs w:val="28"/>
        </w:rPr>
      </w:pPr>
      <w:r>
        <w:rPr>
          <w:rFonts w:hint="eastAsia"/>
          <w:sz w:val="28"/>
          <w:szCs w:val="28"/>
        </w:rPr>
        <w:t>2）推动适度规模经营</w:t>
      </w:r>
    </w:p>
    <w:p w14:paraId="74A15597">
      <w:pPr>
        <w:spacing w:line="580" w:lineRule="exact"/>
        <w:ind w:firstLine="560" w:firstLineChars="200"/>
        <w:rPr>
          <w:sz w:val="28"/>
          <w:szCs w:val="28"/>
        </w:rPr>
      </w:pPr>
      <w:r>
        <w:rPr>
          <w:rFonts w:hint="eastAsia"/>
          <w:sz w:val="28"/>
          <w:szCs w:val="28"/>
        </w:rPr>
        <w:t>鼓励土地流转与集约化管理，提高农业生产效率。解决皮山县农业长期存在耕地碎片化问题，通过土地流转与集约化管理，培育现代化经营主体，土地向家庭农场、农民合作社、农业企业等新型经营主体集中，释放规模效应。培育5个新型农业经营主体综合服务中心，建立健全以农户家庭经营为基础、合作与联合为纽带、社会化服务为支撑的立体式复合型现代农业经营体系。</w:t>
      </w:r>
    </w:p>
    <w:p w14:paraId="726DD184">
      <w:pPr>
        <w:spacing w:line="580" w:lineRule="exact"/>
        <w:ind w:firstLine="560" w:firstLineChars="200"/>
        <w:rPr>
          <w:sz w:val="28"/>
          <w:szCs w:val="28"/>
        </w:rPr>
      </w:pPr>
      <w:r>
        <w:rPr>
          <w:rFonts w:hint="eastAsia"/>
          <w:sz w:val="28"/>
          <w:szCs w:val="28"/>
        </w:rPr>
        <w:t>3）实施单产提升行动</w:t>
      </w:r>
    </w:p>
    <w:p w14:paraId="55EFCE31">
      <w:pPr>
        <w:spacing w:line="580" w:lineRule="exact"/>
        <w:ind w:firstLine="560" w:firstLineChars="200"/>
        <w:rPr>
          <w:sz w:val="28"/>
          <w:szCs w:val="28"/>
        </w:rPr>
      </w:pPr>
      <w:r>
        <w:rPr>
          <w:rFonts w:hint="eastAsia"/>
          <w:sz w:val="28"/>
          <w:szCs w:val="28"/>
        </w:rPr>
        <w:t>建设高产示范田，推广优质品种（如中强筋小麦、粮饲兼用型玉米）；集成推广“良种、良技、良机、良法”，推进精耕细作；加强政策支持与示范引领，实现大面积均衡增产。2026年到2030年，粮食高产示范田稳定在2万亩，粮食单产达到400公斤以上，年增长率达到2%。</w:t>
      </w:r>
    </w:p>
    <w:p w14:paraId="61C5D889">
      <w:pPr>
        <w:spacing w:line="580" w:lineRule="exact"/>
        <w:ind w:firstLine="560" w:firstLineChars="200"/>
        <w:rPr>
          <w:sz w:val="28"/>
          <w:szCs w:val="28"/>
        </w:rPr>
      </w:pPr>
      <w:r>
        <w:rPr>
          <w:rFonts w:hint="eastAsia"/>
          <w:sz w:val="28"/>
          <w:szCs w:val="28"/>
        </w:rPr>
        <w:t>4）提升粮食品质</w:t>
      </w:r>
    </w:p>
    <w:p w14:paraId="1B435CB2">
      <w:pPr>
        <w:spacing w:line="580" w:lineRule="exact"/>
        <w:ind w:firstLine="560" w:firstLineChars="200"/>
        <w:rPr>
          <w:sz w:val="28"/>
          <w:szCs w:val="28"/>
        </w:rPr>
      </w:pPr>
      <w:r>
        <w:rPr>
          <w:rFonts w:hint="eastAsia"/>
          <w:sz w:val="28"/>
          <w:szCs w:val="28"/>
        </w:rPr>
        <w:t>通过品种优化与标准化生产，满足市场对优质粮食的需求。以市场需求为导向开展精准选育与改良，定向培育优质品种，通过科技赋能，加速育种进程，提升抗病虫、抗逆性及营养品质。实施标准化生产，制定从田间到收获的标准化操作流程，包括统一播期、水肥管理、病虫害绿色防控等，减少品质波动。推广精准农业技术（如智能灌溉、变量施肥），实现生产过程的精细管控，保障品质稳定。建立“企业+基地+农户”模式，以订单农业带动生产标准落地。</w:t>
      </w:r>
    </w:p>
    <w:p w14:paraId="00CC01C4">
      <w:pPr>
        <w:spacing w:line="580" w:lineRule="exact"/>
        <w:ind w:firstLine="560" w:firstLineChars="200"/>
        <w:rPr>
          <w:sz w:val="28"/>
          <w:szCs w:val="28"/>
        </w:rPr>
      </w:pPr>
      <w:r>
        <w:rPr>
          <w:rFonts w:hint="eastAsia"/>
          <w:sz w:val="28"/>
          <w:szCs w:val="28"/>
        </w:rPr>
        <w:t>2、延伸产业链，提升附加值</w:t>
      </w:r>
    </w:p>
    <w:p w14:paraId="02D1C2C8">
      <w:pPr>
        <w:spacing w:line="580" w:lineRule="exact"/>
        <w:ind w:firstLine="560" w:firstLineChars="200"/>
        <w:rPr>
          <w:sz w:val="28"/>
          <w:szCs w:val="28"/>
        </w:rPr>
      </w:pPr>
      <w:r>
        <w:rPr>
          <w:rFonts w:hint="eastAsia"/>
          <w:sz w:val="28"/>
          <w:szCs w:val="28"/>
        </w:rPr>
        <w:t>1）发展粮食精深加工</w:t>
      </w:r>
    </w:p>
    <w:p w14:paraId="387099E0">
      <w:pPr>
        <w:spacing w:line="580" w:lineRule="exact"/>
        <w:ind w:firstLine="560" w:firstLineChars="200"/>
        <w:rPr>
          <w:sz w:val="28"/>
          <w:szCs w:val="28"/>
        </w:rPr>
      </w:pPr>
      <w:r>
        <w:rPr>
          <w:rFonts w:hint="eastAsia"/>
          <w:sz w:val="28"/>
          <w:szCs w:val="28"/>
        </w:rPr>
        <w:t>提高主食加工产业化水平，培育与引进各类符合条件的加工企业，对依法登记注册、具备相应资质和能力的加工企业给予同等支持，鼓励其通过市场化方式开展兼并重组、技术改造。打造地方特色品牌，通过挖掘文化内涵、突出品质与功能差异、明确品牌定位。“十五五”期间，通过公开公平的竞争方式，支持一批依法经营、具备市场竞争力的加工企业，积极引进国内外优质食品加工企业，推动粮食精深加工产业集群发展。</w:t>
      </w:r>
    </w:p>
    <w:p w14:paraId="3F4ED5F5">
      <w:pPr>
        <w:spacing w:line="580" w:lineRule="exact"/>
        <w:ind w:firstLine="560" w:firstLineChars="200"/>
        <w:rPr>
          <w:sz w:val="28"/>
          <w:szCs w:val="28"/>
        </w:rPr>
      </w:pPr>
      <w:r>
        <w:rPr>
          <w:rFonts w:hint="eastAsia"/>
          <w:sz w:val="28"/>
          <w:szCs w:val="28"/>
        </w:rPr>
        <w:t>2）推动副产物综合利用</w:t>
      </w:r>
    </w:p>
    <w:p w14:paraId="16EC927F">
      <w:pPr>
        <w:spacing w:line="580" w:lineRule="exact"/>
        <w:ind w:firstLine="560" w:firstLineChars="200"/>
        <w:rPr>
          <w:sz w:val="28"/>
          <w:szCs w:val="28"/>
        </w:rPr>
      </w:pPr>
      <w:r>
        <w:rPr>
          <w:rFonts w:hint="eastAsia"/>
          <w:sz w:val="28"/>
          <w:szCs w:val="28"/>
        </w:rPr>
        <w:t>提升粮食加工副产品（如麸皮、玉米皮等）的循环利用价值。重点在农业与饲料应用方面开发功能性饲料、有机肥料、土壤改良剂；应用发酵工程技术、微胶囊/包埋技术、营养重组技术生产功能性饲料原料，如肠道健康调节剂、免疫增强剂、特色畜禽饲料。应用好氧高温快速发酵工艺、生物炭化技术、复合功能菌剂接种生产功能性生物有机肥、土壤修复专用改良剂育苗/栽培基质。通过构建“粮食加工—饲料/肥料—种养殖—农产品”的闭环，提升整体价值。</w:t>
      </w:r>
    </w:p>
    <w:p w14:paraId="0244BBD8">
      <w:pPr>
        <w:spacing w:line="580" w:lineRule="exact"/>
        <w:ind w:firstLine="560" w:firstLineChars="200"/>
        <w:rPr>
          <w:sz w:val="28"/>
          <w:szCs w:val="28"/>
        </w:rPr>
      </w:pPr>
      <w:r>
        <w:rPr>
          <w:rFonts w:hint="eastAsia"/>
          <w:sz w:val="28"/>
          <w:szCs w:val="28"/>
        </w:rPr>
        <w:t>3）健全配送与市场体系</w:t>
      </w:r>
    </w:p>
    <w:p w14:paraId="0B18363B">
      <w:pPr>
        <w:spacing w:line="580" w:lineRule="exact"/>
        <w:ind w:firstLine="560" w:firstLineChars="200"/>
        <w:rPr>
          <w:sz w:val="28"/>
          <w:szCs w:val="28"/>
        </w:rPr>
      </w:pPr>
      <w:r>
        <w:rPr>
          <w:rFonts w:hint="eastAsia"/>
          <w:sz w:val="28"/>
          <w:szCs w:val="28"/>
        </w:rPr>
        <w:t>建立高效的主食产品配送网络，增强粮食产品市场竞争力。建立多层级仓储体系（中央枢纽仓、分拨中心、前置仓/社区微仓、智能寄存点），应用智慧物流技术，降低配送成本15-20%，建设配送大数据平台，预测需求，智能调度；采用自动化分拣设备，提升处理效率。建设冷链与保鲜体系，保障食品安全，减少损耗。2026年到2030年，新建冷鲜库5万吨的库容。</w:t>
      </w:r>
    </w:p>
    <w:p w14:paraId="6637981D">
      <w:pPr>
        <w:spacing w:line="580" w:lineRule="exact"/>
        <w:ind w:firstLine="560" w:firstLineChars="200"/>
        <w:rPr>
          <w:sz w:val="28"/>
          <w:szCs w:val="28"/>
        </w:rPr>
      </w:pPr>
      <w:r>
        <w:rPr>
          <w:rFonts w:hint="eastAsia"/>
          <w:sz w:val="28"/>
          <w:szCs w:val="28"/>
        </w:rPr>
        <w:t>3、健全储备与应急体系</w:t>
      </w:r>
    </w:p>
    <w:p w14:paraId="1F5DB674">
      <w:pPr>
        <w:spacing w:line="580" w:lineRule="exact"/>
        <w:ind w:firstLine="560" w:firstLineChars="200"/>
        <w:rPr>
          <w:sz w:val="28"/>
          <w:szCs w:val="28"/>
        </w:rPr>
      </w:pPr>
      <w:r>
        <w:rPr>
          <w:rFonts w:hint="eastAsia"/>
          <w:sz w:val="28"/>
          <w:szCs w:val="28"/>
        </w:rPr>
        <w:t>1）优化储备结构</w:t>
      </w:r>
    </w:p>
    <w:p w14:paraId="5D3229F9">
      <w:pPr>
        <w:spacing w:line="580" w:lineRule="exact"/>
        <w:ind w:firstLine="560" w:firstLineChars="200"/>
        <w:rPr>
          <w:sz w:val="28"/>
          <w:szCs w:val="28"/>
        </w:rPr>
      </w:pPr>
      <w:r>
        <w:rPr>
          <w:rFonts w:hint="eastAsia"/>
          <w:sz w:val="28"/>
          <w:szCs w:val="28"/>
        </w:rPr>
        <w:t>稳妥推进粮食增储，在科学评估供需、财政能力、市场影响和国际形势的基础上，有计划、有步骤地进行，避免因集中收购导致粮价剧烈波动，同时考虑仓储设施的建设进度和承受能力，优化储备布局和品种结构，增强应对自然灾害、市场波动和国际不确定性风险的能力；加快高标准、智能化仓储设施建设，建设符合绿色、生态、低温、气调等现代储粮技术的仓储设施，利用物联网、大数据、人工智能、传感器等技术，实现对粮仓内温度、湿度、气体成分、虫害、粮情的实时在线监测、自动预警和智能调控，提升管理效率，降低人力成本，保障储粮安全。</w:t>
      </w:r>
    </w:p>
    <w:p w14:paraId="38D17AA8">
      <w:pPr>
        <w:spacing w:line="580" w:lineRule="exact"/>
        <w:ind w:firstLine="560" w:firstLineChars="200"/>
        <w:rPr>
          <w:sz w:val="28"/>
          <w:szCs w:val="28"/>
        </w:rPr>
      </w:pPr>
      <w:r>
        <w:rPr>
          <w:rFonts w:hint="eastAsia"/>
          <w:sz w:val="28"/>
          <w:szCs w:val="28"/>
        </w:rPr>
        <w:t>2）创新监管模式</w:t>
      </w:r>
    </w:p>
    <w:p w14:paraId="7CF1DDD1">
      <w:pPr>
        <w:spacing w:line="580" w:lineRule="exact"/>
        <w:ind w:firstLine="560" w:firstLineChars="200"/>
        <w:rPr>
          <w:sz w:val="28"/>
          <w:szCs w:val="28"/>
        </w:rPr>
      </w:pPr>
      <w:r>
        <w:rPr>
          <w:rFonts w:hint="eastAsia"/>
          <w:sz w:val="28"/>
          <w:szCs w:val="28"/>
        </w:rPr>
        <w:t>探索粮食购销领域数字化、穿透式</w:t>
      </w:r>
      <w:r>
        <w:rPr>
          <w:rFonts w:hint="eastAsia"/>
          <w:sz w:val="28"/>
          <w:szCs w:val="28"/>
          <w:lang w:eastAsia="zh-CN"/>
        </w:rPr>
        <w:t>监督和管理</w:t>
      </w:r>
      <w:r>
        <w:rPr>
          <w:rFonts w:hint="eastAsia"/>
          <w:sz w:val="28"/>
          <w:szCs w:val="28"/>
        </w:rPr>
        <w:t>，实现对粮食购销全链条的动态监控与风险预警，防范风险，保障粮食安全。构建全链条数据采集系统（收购环节、储存环节、销售环节、运输环节），搭建一体化监管平台，建立跨部门数据共享机制，打破信息孤岛，“十五五”期间推广数字化监管覆盖主要产销区，完善风险预警模型与响应机制，建立跨区域协同监管机制。</w:t>
      </w:r>
    </w:p>
    <w:p w14:paraId="58A2199A">
      <w:pPr>
        <w:spacing w:line="580" w:lineRule="exact"/>
        <w:ind w:firstLine="560" w:firstLineChars="200"/>
        <w:rPr>
          <w:sz w:val="28"/>
          <w:szCs w:val="28"/>
        </w:rPr>
      </w:pPr>
      <w:r>
        <w:rPr>
          <w:rFonts w:hint="eastAsia"/>
          <w:sz w:val="28"/>
          <w:szCs w:val="28"/>
        </w:rPr>
        <w:t>3）强化质量安全监测</w:t>
      </w:r>
    </w:p>
    <w:p w14:paraId="61D8CDF0">
      <w:pPr>
        <w:spacing w:line="580" w:lineRule="exact"/>
        <w:ind w:firstLine="560" w:firstLineChars="200"/>
        <w:rPr>
          <w:sz w:val="28"/>
          <w:szCs w:val="28"/>
        </w:rPr>
      </w:pPr>
      <w:r>
        <w:rPr>
          <w:rFonts w:hint="eastAsia"/>
          <w:sz w:val="28"/>
          <w:szCs w:val="28"/>
        </w:rPr>
        <w:t>完善粮食质量检验体系，确保从田间到餐桌的全过程安全。构建“全链条、可追溯、智能化、共治型”粮食质量安全治理体系，建立源头管控（绿色生态与土壤治理、产后服务体系升级、源头快速检测与分级），储运与加工过程监管（智能化仓储监管、标准化物流体系、加工过程标准化与风险监控），市场流通与终端消费（市场准入与全程追溯、加强流通环节抽检、强化标准体系建设），建立“源头可溯、过程可控、风险可防、责任可究、公众可查”的现代化粮食安全保障网络，让每一粒米、每一口面都安全可靠，真正守护好粮食的质量生命线。</w:t>
      </w:r>
    </w:p>
    <w:p w14:paraId="37E1B7C1">
      <w:pPr>
        <w:spacing w:line="580" w:lineRule="exact"/>
        <w:ind w:firstLine="560" w:firstLineChars="200"/>
        <w:rPr>
          <w:sz w:val="28"/>
          <w:szCs w:val="28"/>
        </w:rPr>
      </w:pPr>
      <w:r>
        <w:rPr>
          <w:rFonts w:hint="eastAsia"/>
          <w:sz w:val="28"/>
          <w:szCs w:val="28"/>
        </w:rPr>
        <w:t>4、构建节约长效机制</w:t>
      </w:r>
    </w:p>
    <w:p w14:paraId="668154AA">
      <w:pPr>
        <w:spacing w:line="580" w:lineRule="exact"/>
        <w:ind w:firstLine="560" w:firstLineChars="200"/>
        <w:rPr>
          <w:sz w:val="28"/>
          <w:szCs w:val="28"/>
        </w:rPr>
      </w:pPr>
      <w:r>
        <w:rPr>
          <w:rFonts w:hint="eastAsia"/>
          <w:sz w:val="28"/>
          <w:szCs w:val="28"/>
        </w:rPr>
        <w:t>1）推进全链条节粮减损</w:t>
      </w:r>
    </w:p>
    <w:p w14:paraId="05BCDCF2">
      <w:pPr>
        <w:spacing w:line="580" w:lineRule="exact"/>
        <w:ind w:firstLine="560" w:firstLineChars="200"/>
        <w:rPr>
          <w:sz w:val="28"/>
          <w:szCs w:val="28"/>
        </w:rPr>
      </w:pPr>
      <w:r>
        <w:rPr>
          <w:rFonts w:hint="eastAsia"/>
          <w:sz w:val="28"/>
          <w:szCs w:val="28"/>
        </w:rPr>
        <w:t>从储存（智能温控仓储、先进先出、定期监测与维护、推广低成本、简易的仓储设施）、运输（冷链物流体系建设、物流优化）、加工（精深加工与综合利用、技术与管理提升）、消费（消费者意识与行为改变、零售与餐饮端创新）各环节降低损耗，通过全链条共同努力，有效减少资源消耗、促进可持续发展，并为保障粮食安全作出实质性贡献。</w:t>
      </w:r>
    </w:p>
    <w:p w14:paraId="22451192">
      <w:pPr>
        <w:spacing w:line="580" w:lineRule="exact"/>
        <w:ind w:firstLine="560" w:firstLineChars="200"/>
        <w:rPr>
          <w:sz w:val="28"/>
          <w:szCs w:val="28"/>
        </w:rPr>
      </w:pPr>
      <w:r>
        <w:rPr>
          <w:rFonts w:hint="eastAsia"/>
          <w:sz w:val="28"/>
          <w:szCs w:val="28"/>
        </w:rPr>
        <w:t>2）加强宣传教育，建设节约型社会。</w:t>
      </w:r>
    </w:p>
    <w:p w14:paraId="5CC52CC4">
      <w:pPr>
        <w:spacing w:line="580" w:lineRule="exact"/>
        <w:ind w:firstLine="560" w:firstLineChars="200"/>
        <w:rPr>
          <w:sz w:val="28"/>
          <w:szCs w:val="28"/>
        </w:rPr>
      </w:pPr>
      <w:r>
        <w:rPr>
          <w:rFonts w:hint="eastAsia"/>
          <w:sz w:val="28"/>
          <w:szCs w:val="28"/>
        </w:rPr>
        <w:t>倡导节约型社会风尚，杜绝食物浪费。个人与家庭层面倡导精打细算、智慧购物、光盘行动、垃圾分类，资源回归；餐饮与商业层面承担社会责任，餐饮行业引导，零售与供应链优化；社会与制度层面营造良好氛围，通过教育与宣传、政策与法规支持、搭建共享平台，有效地杜绝浪费，构建一个可持续的社会。</w:t>
      </w:r>
    </w:p>
    <w:p w14:paraId="14505E80">
      <w:pPr>
        <w:spacing w:line="580" w:lineRule="exact"/>
        <w:ind w:firstLine="560" w:firstLineChars="200"/>
        <w:rPr>
          <w:sz w:val="28"/>
          <w:szCs w:val="28"/>
        </w:rPr>
      </w:pPr>
      <w:r>
        <w:rPr>
          <w:rFonts w:hint="eastAsia"/>
          <w:sz w:val="28"/>
          <w:szCs w:val="28"/>
        </w:rPr>
        <w:t>结合皮山县高标准农田、土地整治等项目建设，包括水肥一体化、高效节水、农情监测、病虫害防治、土壤监测等建设内容；畜禽养殖监测、农业企业（合作社）管理等开展智慧农业综合应用试点建设。</w:t>
      </w:r>
    </w:p>
    <w:p w14:paraId="198D16D5">
      <w:pPr>
        <w:pStyle w:val="4"/>
        <w:keepLines w:val="0"/>
        <w:topLinePunct/>
        <w:spacing w:before="0" w:after="0" w:line="540" w:lineRule="exact"/>
        <w:ind w:firstLine="632" w:firstLineChars="210"/>
        <w:rPr>
          <w:sz w:val="28"/>
          <w:szCs w:val="28"/>
        </w:rPr>
      </w:pPr>
      <w:bookmarkStart w:id="48" w:name="_Toc237987599"/>
      <w:r>
        <w:rPr>
          <w:rFonts w:hint="eastAsia" w:eastAsia="宋体"/>
          <w:sz w:val="30"/>
          <w:szCs w:val="30"/>
          <w:lang w:eastAsia="zh-CN"/>
        </w:rPr>
        <w:t>（二</w:t>
      </w:r>
      <w:r>
        <w:rPr>
          <w:rFonts w:hint="eastAsia" w:eastAsia="宋体"/>
          <w:sz w:val="30"/>
          <w:szCs w:val="30"/>
        </w:rPr>
        <w:t>）</w:t>
      </w:r>
      <w:r>
        <w:rPr>
          <w:rFonts w:hint="eastAsia"/>
          <w:sz w:val="28"/>
          <w:szCs w:val="28"/>
        </w:rPr>
        <w:t>加快发展绿色有机果蔬产业</w:t>
      </w:r>
      <w:bookmarkEnd w:id="48"/>
    </w:p>
    <w:p w14:paraId="6D0D7CC5">
      <w:pPr>
        <w:spacing w:line="580" w:lineRule="exact"/>
        <w:ind w:firstLine="560" w:firstLineChars="200"/>
        <w:rPr>
          <w:sz w:val="28"/>
          <w:szCs w:val="28"/>
        </w:rPr>
      </w:pPr>
      <w:r>
        <w:rPr>
          <w:rFonts w:hint="eastAsia"/>
          <w:sz w:val="28"/>
          <w:szCs w:val="28"/>
        </w:rPr>
        <w:t>以市场为导向，以效益为中心，优化特色果蔬产业布局，构建“林果、蔬菜、中药材、特色种植”四大产业链。通过品种优化、标准生产、精深加工、品牌营销、物流畅通五措并举，推动产业从规模扩张向质量效益提升转变，构建“一乡一品”差异化发展格局，全面提升产业综合竞争力与供给保障能力。</w:t>
      </w:r>
    </w:p>
    <w:p w14:paraId="763113ED">
      <w:pPr>
        <w:spacing w:line="580" w:lineRule="exact"/>
        <w:ind w:firstLine="560" w:firstLineChars="200"/>
        <w:rPr>
          <w:sz w:val="28"/>
          <w:szCs w:val="28"/>
        </w:rPr>
      </w:pPr>
      <w:r>
        <w:rPr>
          <w:rFonts w:hint="eastAsia"/>
          <w:sz w:val="28"/>
          <w:szCs w:val="28"/>
        </w:rPr>
        <w:t>1、林果业提质增效</w:t>
      </w:r>
    </w:p>
    <w:p w14:paraId="28B2D2F0">
      <w:pPr>
        <w:spacing w:line="580" w:lineRule="exact"/>
        <w:ind w:firstLine="560" w:firstLineChars="200"/>
        <w:rPr>
          <w:sz w:val="28"/>
          <w:szCs w:val="28"/>
        </w:rPr>
      </w:pPr>
      <w:r>
        <w:rPr>
          <w:rFonts w:hint="eastAsia"/>
          <w:sz w:val="28"/>
          <w:szCs w:val="28"/>
        </w:rPr>
        <w:t>优化品种结构，扩大优质鲜果种植规模；大力发展果品精深加工，延伸产业链；健全冷链物流体系，减少损耗、拓展市场；全力打造以“皮亚曼石榴”为代表的区域公用品牌，提升产品附加值。皮亚曼甜石榴在现有种植面积2.4万亩的基础上提质增效，提升石榴品质。</w:t>
      </w:r>
    </w:p>
    <w:p w14:paraId="092B60B1">
      <w:pPr>
        <w:spacing w:line="580" w:lineRule="exact"/>
        <w:ind w:firstLine="560" w:firstLineChars="200"/>
        <w:rPr>
          <w:sz w:val="28"/>
          <w:szCs w:val="28"/>
        </w:rPr>
      </w:pPr>
      <w:r>
        <w:rPr>
          <w:rFonts w:hint="eastAsia"/>
          <w:sz w:val="28"/>
          <w:szCs w:val="28"/>
        </w:rPr>
        <w:t>2、设施蔬菜升级</w:t>
      </w:r>
    </w:p>
    <w:p w14:paraId="1C4ECCC3">
      <w:pPr>
        <w:spacing w:line="580" w:lineRule="exact"/>
        <w:ind w:firstLine="560" w:firstLineChars="200"/>
        <w:rPr>
          <w:sz w:val="28"/>
          <w:szCs w:val="28"/>
        </w:rPr>
      </w:pPr>
      <w:r>
        <w:rPr>
          <w:rFonts w:hint="eastAsia"/>
          <w:sz w:val="28"/>
          <w:szCs w:val="28"/>
        </w:rPr>
        <w:t>推进老旧设施大棚改造升级，推广应用智能化、绿色化生产技术；加强集约化育苗中心建设，保障优质种苗供给；提升蔬菜产地保鲜与商品化处理能力，实现均衡供应与错峰销售。“十五五”期间新建设施农业大棚760座，对现有1649座大棚逐步开展改造提升。设施农业类项目预计投资</w:t>
      </w:r>
      <w:r>
        <w:rPr>
          <w:sz w:val="28"/>
          <w:szCs w:val="28"/>
        </w:rPr>
        <w:t>209135</w:t>
      </w:r>
      <w:r>
        <w:rPr>
          <w:rFonts w:hint="eastAsia"/>
          <w:sz w:val="28"/>
          <w:szCs w:val="28"/>
        </w:rPr>
        <w:t>万元。</w:t>
      </w:r>
    </w:p>
    <w:p w14:paraId="6F9BAAA0">
      <w:pPr>
        <w:spacing w:line="580" w:lineRule="exact"/>
        <w:ind w:firstLine="560" w:firstLineChars="200"/>
        <w:rPr>
          <w:sz w:val="28"/>
          <w:szCs w:val="28"/>
        </w:rPr>
      </w:pPr>
      <w:r>
        <w:rPr>
          <w:rFonts w:hint="eastAsia"/>
          <w:sz w:val="28"/>
          <w:szCs w:val="28"/>
        </w:rPr>
        <w:t>3、中药材集约化发展</w:t>
      </w:r>
    </w:p>
    <w:p w14:paraId="7DB52C6A">
      <w:pPr>
        <w:spacing w:line="580" w:lineRule="exact"/>
        <w:ind w:firstLine="560" w:firstLineChars="200"/>
        <w:rPr>
          <w:sz w:val="28"/>
          <w:szCs w:val="28"/>
        </w:rPr>
      </w:pPr>
      <w:r>
        <w:rPr>
          <w:rFonts w:hint="eastAsia"/>
          <w:sz w:val="28"/>
          <w:szCs w:val="28"/>
        </w:rPr>
        <w:t>推广“定制药园”订单生产模式，稳定产销关系；稳步扩大优势品种种植规模，特色作物种植（如瓜蒌、葛根等）须编制专项水资源论证报告，经水利部门审查通过后实施，确保种植规划不突破“三条红线”控制指标；加强品牌建设，培育如“雪菊”等具有市场影响力的特色药材品牌。 “十五五”期间瓜蒌、葛根、雪菊等特色种植及加工类项目预计投资</w:t>
      </w:r>
      <w:r>
        <w:rPr>
          <w:sz w:val="28"/>
          <w:szCs w:val="28"/>
        </w:rPr>
        <w:t>217750</w:t>
      </w:r>
      <w:r>
        <w:rPr>
          <w:rFonts w:hint="eastAsia"/>
          <w:sz w:val="28"/>
          <w:szCs w:val="28"/>
        </w:rPr>
        <w:t>万元。</w:t>
      </w:r>
    </w:p>
    <w:p w14:paraId="095880CE">
      <w:pPr>
        <w:spacing w:line="580" w:lineRule="exact"/>
        <w:ind w:firstLine="560" w:firstLineChars="200"/>
        <w:rPr>
          <w:sz w:val="28"/>
          <w:szCs w:val="28"/>
        </w:rPr>
      </w:pPr>
      <w:r>
        <w:rPr>
          <w:rFonts w:hint="eastAsia"/>
          <w:sz w:val="28"/>
          <w:szCs w:val="28"/>
        </w:rPr>
        <w:t>4、特色种植精准布局：在严格落实林地审批制度和生态红线约束前提下，稳步发展特色种植产业，强化标准化生产体系建设。坚持以市场为导向，优化特色作物种植布局，因地制宜发展“一乡一品”，鼓励农户种植土豆、红薯、洋葱、大蒜、胡萝卜、大白菜、恰玛古等本地群众消费量较大的特色作物，提高产品附加值。到2030年，蔬菜及特色作物种植面积（不含瓜蒌、葛根等大宗中药材）稳定在5万亩左右。</w:t>
      </w:r>
    </w:p>
    <w:p w14:paraId="0B1CBF82">
      <w:pPr>
        <w:pStyle w:val="4"/>
        <w:keepLines w:val="0"/>
        <w:topLinePunct/>
        <w:spacing w:before="0" w:after="0" w:line="540" w:lineRule="exact"/>
        <w:ind w:firstLine="590" w:firstLineChars="210"/>
        <w:rPr>
          <w:sz w:val="28"/>
          <w:szCs w:val="28"/>
        </w:rPr>
      </w:pPr>
      <w:bookmarkStart w:id="49" w:name="_Toc237987600"/>
      <w:r>
        <w:rPr>
          <w:rFonts w:hint="eastAsia"/>
          <w:sz w:val="28"/>
          <w:szCs w:val="28"/>
        </w:rPr>
        <w:t>（</w:t>
      </w:r>
      <w:r>
        <w:rPr>
          <w:rFonts w:hint="eastAsia"/>
          <w:sz w:val="28"/>
          <w:szCs w:val="28"/>
          <w:lang w:eastAsia="zh-CN"/>
        </w:rPr>
        <w:t>三</w:t>
      </w:r>
      <w:r>
        <w:rPr>
          <w:rFonts w:hint="eastAsia"/>
          <w:sz w:val="28"/>
          <w:szCs w:val="28"/>
        </w:rPr>
        <w:t>）空间布局</w:t>
      </w:r>
      <w:bookmarkEnd w:id="49"/>
    </w:p>
    <w:p w14:paraId="0256AFFF">
      <w:pPr>
        <w:spacing w:line="580" w:lineRule="exact"/>
        <w:ind w:firstLine="562" w:firstLineChars="200"/>
        <w:rPr>
          <w:b/>
          <w:sz w:val="28"/>
          <w:szCs w:val="28"/>
        </w:rPr>
      </w:pPr>
      <w:r>
        <w:rPr>
          <w:rFonts w:hint="eastAsia"/>
          <w:b/>
          <w:sz w:val="28"/>
          <w:szCs w:val="28"/>
        </w:rPr>
        <w:t>1、高效节水灌溉区</w:t>
      </w:r>
    </w:p>
    <w:p w14:paraId="131F8802">
      <w:pPr>
        <w:spacing w:line="580" w:lineRule="exact"/>
        <w:ind w:firstLine="560" w:firstLineChars="200"/>
        <w:rPr>
          <w:sz w:val="28"/>
          <w:szCs w:val="28"/>
        </w:rPr>
      </w:pPr>
      <w:r>
        <w:rPr>
          <w:rFonts w:hint="eastAsia"/>
          <w:sz w:val="28"/>
          <w:szCs w:val="28"/>
        </w:rPr>
        <w:t>粮食安全保障区：木吉镇、藏桂乡建设高标准农田，集成耐盐品种与智能灌溉技术，确保粮食稳产。</w:t>
      </w:r>
    </w:p>
    <w:p w14:paraId="2F833070">
      <w:pPr>
        <w:spacing w:line="580" w:lineRule="exact"/>
        <w:ind w:firstLine="560" w:firstLineChars="200"/>
        <w:rPr>
          <w:sz w:val="28"/>
          <w:szCs w:val="28"/>
        </w:rPr>
      </w:pPr>
      <w:r>
        <w:rPr>
          <w:rFonts w:hint="eastAsia"/>
          <w:sz w:val="28"/>
          <w:szCs w:val="28"/>
        </w:rPr>
        <w:t>以木奎拉、固玛镇、乔达乡为核心，建设20万亩高效节水示范区，推广高效节水灌溉系统。</w:t>
      </w:r>
    </w:p>
    <w:p w14:paraId="4E5DE414">
      <w:pPr>
        <w:spacing w:line="580" w:lineRule="exact"/>
        <w:ind w:firstLine="562" w:firstLineChars="200"/>
        <w:rPr>
          <w:b/>
          <w:sz w:val="28"/>
          <w:szCs w:val="28"/>
        </w:rPr>
      </w:pPr>
      <w:r>
        <w:rPr>
          <w:rFonts w:hint="eastAsia"/>
          <w:b/>
          <w:sz w:val="28"/>
          <w:szCs w:val="28"/>
        </w:rPr>
        <w:t>2、特色作物优势区</w:t>
      </w:r>
    </w:p>
    <w:p w14:paraId="6B231FEB">
      <w:pPr>
        <w:spacing w:line="580" w:lineRule="exact"/>
        <w:ind w:firstLine="560" w:firstLineChars="200"/>
        <w:rPr>
          <w:sz w:val="28"/>
          <w:szCs w:val="28"/>
        </w:rPr>
      </w:pPr>
      <w:r>
        <w:rPr>
          <w:rFonts w:hint="eastAsia"/>
          <w:sz w:val="28"/>
          <w:szCs w:val="28"/>
        </w:rPr>
        <w:t>石榴产业带：皮亚勒玛乡重点发展耐盐石榴品种，配套万吨级深加工产业园，开发高端产品。</w:t>
      </w:r>
    </w:p>
    <w:p w14:paraId="7D96B9F4">
      <w:pPr>
        <w:spacing w:line="580" w:lineRule="exact"/>
        <w:ind w:firstLine="560" w:firstLineChars="200"/>
        <w:rPr>
          <w:sz w:val="28"/>
          <w:szCs w:val="28"/>
        </w:rPr>
      </w:pPr>
      <w:r>
        <w:rPr>
          <w:rFonts w:hint="eastAsia"/>
          <w:sz w:val="28"/>
          <w:szCs w:val="28"/>
        </w:rPr>
        <w:t>瓜蒌治沙区：沙漠边缘推广“瓜蒌治沙”模式，同步发展中药材深加工，形成生态与经济双赢。</w:t>
      </w:r>
    </w:p>
    <w:p w14:paraId="77B59086">
      <w:pPr>
        <w:spacing w:line="580" w:lineRule="exact"/>
        <w:ind w:firstLine="562" w:firstLineChars="200"/>
        <w:rPr>
          <w:b/>
          <w:sz w:val="28"/>
          <w:szCs w:val="28"/>
        </w:rPr>
      </w:pPr>
      <w:r>
        <w:rPr>
          <w:rFonts w:hint="eastAsia"/>
          <w:b/>
          <w:sz w:val="28"/>
          <w:szCs w:val="28"/>
        </w:rPr>
        <w:t>3、城乡融合发展区</w:t>
      </w:r>
    </w:p>
    <w:p w14:paraId="573B4D0D">
      <w:pPr>
        <w:spacing w:line="580" w:lineRule="exact"/>
        <w:ind w:firstLine="560" w:firstLineChars="200"/>
        <w:rPr>
          <w:sz w:val="28"/>
          <w:szCs w:val="28"/>
        </w:rPr>
      </w:pPr>
      <w:r>
        <w:rPr>
          <w:rFonts w:hint="eastAsia"/>
          <w:sz w:val="28"/>
          <w:szCs w:val="28"/>
        </w:rPr>
        <w:t>中心城区：建设“皖疆农业科技产业园”，发展农产品加工、冷链物流、电商直播，引入安徽秸秆还田、粪污处理技术。</w:t>
      </w:r>
    </w:p>
    <w:p w14:paraId="5395DA8E">
      <w:pPr>
        <w:spacing w:line="580" w:lineRule="exact"/>
        <w:ind w:firstLine="560" w:firstLineChars="200"/>
        <w:rPr>
          <w:sz w:val="28"/>
          <w:szCs w:val="28"/>
        </w:rPr>
      </w:pPr>
      <w:r>
        <w:rPr>
          <w:rFonts w:hint="eastAsia"/>
          <w:sz w:val="28"/>
          <w:szCs w:val="28"/>
        </w:rPr>
        <w:t>特色乡镇：桑株镇发展古核桃园、桑株古道、沙漠探险旅游，皮亚勒玛乡发展“皮亚曼”石榴采摘、沙漠绿洲观光旅游，科克铁热克镇发展沙漠观景台、纵情沙漠文化旅游；建设生态旅游示范村。</w:t>
      </w:r>
    </w:p>
    <w:p w14:paraId="3A40154A">
      <w:pPr>
        <w:pStyle w:val="3"/>
        <w:widowControl/>
        <w:spacing w:before="0" w:after="0" w:line="600" w:lineRule="exact"/>
        <w:ind w:firstLine="562" w:firstLineChars="200"/>
        <w:rPr>
          <w:rFonts w:ascii="Arial" w:hAnsi="Arial" w:eastAsia="黑体"/>
          <w:bCs w:val="0"/>
          <w:kern w:val="0"/>
          <w:sz w:val="28"/>
          <w:szCs w:val="20"/>
        </w:rPr>
      </w:pPr>
      <w:bookmarkStart w:id="50" w:name="_Toc237987601"/>
      <w:r>
        <w:rPr>
          <w:rFonts w:hint="eastAsia" w:ascii="Arial" w:hAnsi="Arial" w:eastAsia="黑体"/>
          <w:bCs w:val="0"/>
          <w:kern w:val="0"/>
          <w:sz w:val="28"/>
          <w:szCs w:val="20"/>
        </w:rPr>
        <w:t>六、畜牧业规划目标与布局</w:t>
      </w:r>
      <w:bookmarkEnd w:id="50"/>
    </w:p>
    <w:p w14:paraId="3C87F710">
      <w:pPr>
        <w:pStyle w:val="4"/>
        <w:keepLines w:val="0"/>
        <w:topLinePunct/>
        <w:spacing w:before="0" w:after="0" w:line="540" w:lineRule="exact"/>
        <w:ind w:firstLine="590" w:firstLineChars="210"/>
        <w:rPr>
          <w:sz w:val="28"/>
          <w:szCs w:val="28"/>
        </w:rPr>
      </w:pPr>
      <w:bookmarkStart w:id="51" w:name="_Toc237987602"/>
      <w:r>
        <w:rPr>
          <w:rFonts w:hint="eastAsia"/>
          <w:sz w:val="28"/>
          <w:szCs w:val="28"/>
        </w:rPr>
        <w:t>（一）规模化与良种化发展</w:t>
      </w:r>
      <w:bookmarkEnd w:id="51"/>
    </w:p>
    <w:p w14:paraId="5E197A62">
      <w:pPr>
        <w:spacing w:line="580" w:lineRule="exact"/>
        <w:ind w:firstLine="560" w:firstLineChars="200"/>
        <w:rPr>
          <w:sz w:val="28"/>
          <w:szCs w:val="28"/>
        </w:rPr>
      </w:pPr>
      <w:r>
        <w:rPr>
          <w:rFonts w:hint="eastAsia"/>
          <w:sz w:val="28"/>
          <w:szCs w:val="28"/>
        </w:rPr>
        <w:t>深入实施畜牧业振兴行动，坚持市场导向，以消费升级牵引产业升级；坚持科技驱动，在现代种业、智能装备、绿色技术等方面取得突破；坚持融合发展，推动牧工贸一体、产加销衔接、一二三产业融合；坚持主体培育，充分发挥企业引领作用和新型经营主体的生力军作用。构建饲料、种源、养殖、加工全产业链。提升畜禽产能，打造肉羊养殖示范县，进行差异化区域布局，平原区发挥规模优势，发展多胎肉羊，追求产能和效率，稳定保障肉类供给的基本盘。山区/特定区域：依托独特资源，打造和田羊等中高端品牌，追求品质和价值，提升产业利润和形象的增长极。强化三大支撑保障体系，完善种源、疫病防控和饲草料体系，种源体系是生产效率和产品独特性的基础，疫病防控保障畜牧业生存与可持续发展，饲草料体系保障畜牧业稳定性和竞争力。价值链延伸与提升，壮大加工业，实现从“活畜”到“产品”的跨越，提升附加值。发挥企业引领带动作用，整合资源，对接市场。开发冷鲜、熟食等产品，推动品牌建设，适应消费升级，占领市场心智，实现优质优价。到2030年，全县羊存栏稳定在</w:t>
      </w:r>
      <w:r>
        <w:rPr>
          <w:sz w:val="28"/>
          <w:szCs w:val="28"/>
        </w:rPr>
        <w:t>68</w:t>
      </w:r>
      <w:r>
        <w:rPr>
          <w:rFonts w:hint="eastAsia"/>
          <w:sz w:val="28"/>
          <w:szCs w:val="28"/>
        </w:rPr>
        <w:t>万只（其中皮山红羊达到40万只，和田羊、湖羊等其他品种</w:t>
      </w:r>
      <w:r>
        <w:rPr>
          <w:sz w:val="28"/>
          <w:szCs w:val="28"/>
        </w:rPr>
        <w:t>28</w:t>
      </w:r>
      <w:r>
        <w:rPr>
          <w:rFonts w:hint="eastAsia"/>
          <w:sz w:val="28"/>
          <w:szCs w:val="28"/>
        </w:rPr>
        <w:t>万只）左右；保护地方品种和田青驴稳定在1000头以上。保障饲草料年供应量在120万吨。“十五五”期间预计畜牧业扩产能类项目投资</w:t>
      </w:r>
      <w:r>
        <w:rPr>
          <w:sz w:val="28"/>
          <w:szCs w:val="28"/>
        </w:rPr>
        <w:t>3617</w:t>
      </w:r>
      <w:r>
        <w:rPr>
          <w:rFonts w:hint="eastAsia"/>
          <w:sz w:val="28"/>
          <w:szCs w:val="28"/>
        </w:rPr>
        <w:t>5万元，畜牧业优品种类项目投资</w:t>
      </w:r>
      <w:r>
        <w:rPr>
          <w:sz w:val="28"/>
          <w:szCs w:val="28"/>
        </w:rPr>
        <w:t>9</w:t>
      </w:r>
      <w:r>
        <w:rPr>
          <w:rFonts w:hint="eastAsia"/>
          <w:sz w:val="28"/>
          <w:szCs w:val="28"/>
        </w:rPr>
        <w:t>975万元，畜牧业防疫病类项目投资6827万元，畜牧业重饲养类项目投资13949.5万元，动物卫生监督能力提升类项目投资1000万元。</w:t>
      </w:r>
    </w:p>
    <w:p w14:paraId="7571BD09">
      <w:pPr>
        <w:pStyle w:val="4"/>
        <w:keepLines w:val="0"/>
        <w:topLinePunct/>
        <w:spacing w:before="0" w:after="0" w:line="540" w:lineRule="exact"/>
        <w:ind w:firstLine="590" w:firstLineChars="210"/>
        <w:rPr>
          <w:sz w:val="28"/>
          <w:szCs w:val="28"/>
        </w:rPr>
      </w:pPr>
      <w:bookmarkStart w:id="52" w:name="_Toc237987603"/>
      <w:r>
        <w:rPr>
          <w:rFonts w:hint="eastAsia"/>
          <w:sz w:val="28"/>
          <w:szCs w:val="28"/>
        </w:rPr>
        <w:t>（二）产业链延伸与循环经济</w:t>
      </w:r>
      <w:bookmarkEnd w:id="52"/>
    </w:p>
    <w:p w14:paraId="3B151D90">
      <w:pPr>
        <w:spacing w:line="580" w:lineRule="exact"/>
        <w:ind w:firstLine="560" w:firstLineChars="200"/>
        <w:rPr>
          <w:sz w:val="28"/>
          <w:szCs w:val="28"/>
        </w:rPr>
      </w:pPr>
      <w:r>
        <w:rPr>
          <w:rFonts w:hint="eastAsia"/>
          <w:sz w:val="28"/>
          <w:szCs w:val="28"/>
        </w:rPr>
        <w:t>建设现代化屠宰加工园区，年屠宰肉羊10万只，开发冷鲜肉、特色菜等产品；配套有机肥厂，实现粪污资源化利用率70-80%。</w:t>
      </w:r>
    </w:p>
    <w:p w14:paraId="3D51AF17">
      <w:pPr>
        <w:spacing w:line="580" w:lineRule="exact"/>
        <w:ind w:firstLine="560" w:firstLineChars="200"/>
        <w:rPr>
          <w:sz w:val="28"/>
          <w:szCs w:val="28"/>
        </w:rPr>
      </w:pPr>
      <w:r>
        <w:rPr>
          <w:rFonts w:hint="eastAsia"/>
          <w:sz w:val="28"/>
          <w:szCs w:val="28"/>
        </w:rPr>
        <w:t>推广“养殖小区+饲草基地+有机肥厂”循环模式，建设1万亩优质饲草基地核心示范区，降低饲料成本。</w:t>
      </w:r>
    </w:p>
    <w:p w14:paraId="6AEC8C72">
      <w:pPr>
        <w:pStyle w:val="4"/>
        <w:keepLines w:val="0"/>
        <w:topLinePunct/>
        <w:spacing w:before="0" w:after="0" w:line="540" w:lineRule="exact"/>
        <w:ind w:firstLine="590" w:firstLineChars="210"/>
        <w:rPr>
          <w:sz w:val="28"/>
          <w:szCs w:val="28"/>
        </w:rPr>
      </w:pPr>
      <w:bookmarkStart w:id="53" w:name="_Toc237987604"/>
      <w:r>
        <w:rPr>
          <w:rFonts w:hint="eastAsia"/>
          <w:sz w:val="28"/>
          <w:szCs w:val="28"/>
        </w:rPr>
        <w:t>（三）生态保护与可持续发展</w:t>
      </w:r>
      <w:bookmarkEnd w:id="53"/>
    </w:p>
    <w:p w14:paraId="7C4F3C78">
      <w:pPr>
        <w:spacing w:line="580" w:lineRule="exact"/>
        <w:ind w:firstLine="560" w:firstLineChars="200"/>
        <w:rPr>
          <w:sz w:val="28"/>
          <w:szCs w:val="28"/>
        </w:rPr>
      </w:pPr>
      <w:r>
        <w:rPr>
          <w:rFonts w:hint="eastAsia"/>
          <w:sz w:val="28"/>
          <w:szCs w:val="28"/>
        </w:rPr>
        <w:t>草场开发必须符合草原保护制度要求，严控载畜量，落实草畜平衡制度，推广“轮牧+补饲”“暖季放牧+冷季舍饲”模式，减少天然草原压力，提升载畜能力。</w:t>
      </w:r>
    </w:p>
    <w:p w14:paraId="0C2466B2">
      <w:pPr>
        <w:pStyle w:val="4"/>
        <w:keepLines w:val="0"/>
        <w:topLinePunct/>
        <w:spacing w:before="0" w:after="0" w:line="540" w:lineRule="exact"/>
        <w:ind w:firstLine="590" w:firstLineChars="210"/>
        <w:rPr>
          <w:sz w:val="28"/>
          <w:szCs w:val="28"/>
        </w:rPr>
      </w:pPr>
      <w:bookmarkStart w:id="54" w:name="_Toc237987605"/>
      <w:r>
        <w:rPr>
          <w:rFonts w:hint="eastAsia"/>
          <w:sz w:val="28"/>
          <w:szCs w:val="28"/>
        </w:rPr>
        <w:t>（四）空间布局</w:t>
      </w:r>
      <w:bookmarkEnd w:id="54"/>
    </w:p>
    <w:p w14:paraId="20BBE8FE">
      <w:pPr>
        <w:spacing w:line="580" w:lineRule="exact"/>
        <w:ind w:firstLine="562" w:firstLineChars="200"/>
        <w:rPr>
          <w:b/>
          <w:sz w:val="28"/>
          <w:szCs w:val="28"/>
        </w:rPr>
      </w:pPr>
      <w:r>
        <w:rPr>
          <w:rFonts w:hint="eastAsia"/>
          <w:b/>
          <w:sz w:val="28"/>
          <w:szCs w:val="28"/>
        </w:rPr>
        <w:t>1、畜牧强镇与产业集群</w:t>
      </w:r>
    </w:p>
    <w:p w14:paraId="48B2534C">
      <w:pPr>
        <w:spacing w:line="580" w:lineRule="exact"/>
        <w:ind w:firstLine="560" w:firstLineChars="200"/>
        <w:rPr>
          <w:sz w:val="28"/>
          <w:szCs w:val="28"/>
        </w:rPr>
      </w:pPr>
      <w:r>
        <w:rPr>
          <w:rFonts w:hint="eastAsia"/>
          <w:sz w:val="28"/>
          <w:szCs w:val="28"/>
        </w:rPr>
        <w:t>木吉镇、乔达乡、木奎拉乡、藏桂乡。科克铁热克镇等重点发展皮山红羊、和田青驴规模化养殖，建设养殖小区和有机肥厂，形成“繁育育肥加工”产业链。</w:t>
      </w:r>
    </w:p>
    <w:p w14:paraId="42F959B1">
      <w:pPr>
        <w:spacing w:line="580" w:lineRule="exact"/>
        <w:ind w:firstLine="562" w:firstLineChars="200"/>
        <w:rPr>
          <w:b/>
          <w:sz w:val="28"/>
          <w:szCs w:val="28"/>
        </w:rPr>
      </w:pPr>
      <w:r>
        <w:rPr>
          <w:rFonts w:hint="eastAsia"/>
          <w:b/>
          <w:sz w:val="28"/>
          <w:szCs w:val="28"/>
        </w:rPr>
        <w:t>2、饲草种植</w:t>
      </w:r>
    </w:p>
    <w:p w14:paraId="161EFAF8">
      <w:pPr>
        <w:spacing w:line="580" w:lineRule="exact"/>
        <w:ind w:firstLine="560" w:firstLineChars="200"/>
        <w:rPr>
          <w:sz w:val="28"/>
          <w:szCs w:val="28"/>
        </w:rPr>
      </w:pPr>
      <w:r>
        <w:rPr>
          <w:rFonts w:hint="eastAsia"/>
          <w:sz w:val="28"/>
          <w:szCs w:val="28"/>
        </w:rPr>
        <w:t>全县建设10万亩苜蓿、玉米种植基地，配套饲料加工厂，年产能20万吨，降低饲料成本。</w:t>
      </w:r>
    </w:p>
    <w:p w14:paraId="27AAC003">
      <w:pPr>
        <w:spacing w:line="580" w:lineRule="exact"/>
        <w:ind w:firstLine="562" w:firstLineChars="200"/>
        <w:rPr>
          <w:b/>
          <w:sz w:val="28"/>
          <w:szCs w:val="28"/>
        </w:rPr>
      </w:pPr>
      <w:r>
        <w:rPr>
          <w:rFonts w:hint="eastAsia"/>
          <w:b/>
          <w:sz w:val="28"/>
          <w:szCs w:val="28"/>
        </w:rPr>
        <w:t>3、科技支撑与智慧养殖</w:t>
      </w:r>
    </w:p>
    <w:p w14:paraId="3775C3FB">
      <w:pPr>
        <w:spacing w:line="580" w:lineRule="exact"/>
        <w:ind w:firstLine="560" w:firstLineChars="200"/>
        <w:rPr>
          <w:sz w:val="28"/>
          <w:szCs w:val="28"/>
        </w:rPr>
      </w:pPr>
      <w:r>
        <w:rPr>
          <w:rFonts w:hint="eastAsia"/>
          <w:sz w:val="28"/>
          <w:szCs w:val="28"/>
        </w:rPr>
        <w:t>建设畜牧大数据平台，集成环境监测、疫病防控、精准饲喂等功能，核心产区实现智能化管理。推广人工授精、胚胎移植等技术，加快皮山红羊繁殖进程，良种覆盖率达80%以上。</w:t>
      </w:r>
    </w:p>
    <w:p w14:paraId="593F5E02">
      <w:pPr>
        <w:pStyle w:val="3"/>
        <w:widowControl/>
        <w:spacing w:before="0" w:after="0" w:line="600" w:lineRule="exact"/>
        <w:ind w:firstLine="562" w:firstLineChars="200"/>
        <w:rPr>
          <w:rFonts w:ascii="Arial" w:hAnsi="Arial" w:eastAsia="黑体"/>
          <w:bCs w:val="0"/>
          <w:kern w:val="0"/>
          <w:sz w:val="28"/>
          <w:szCs w:val="20"/>
        </w:rPr>
      </w:pPr>
      <w:bookmarkStart w:id="55" w:name="_Toc237987606"/>
      <w:r>
        <w:rPr>
          <w:rFonts w:hint="eastAsia" w:ascii="Arial" w:hAnsi="Arial" w:eastAsia="黑体"/>
          <w:bCs w:val="0"/>
          <w:kern w:val="0"/>
          <w:sz w:val="28"/>
          <w:szCs w:val="20"/>
        </w:rPr>
        <w:t>七、生态环境与资源可持续利用</w:t>
      </w:r>
      <w:bookmarkEnd w:id="55"/>
    </w:p>
    <w:p w14:paraId="40E16525">
      <w:pPr>
        <w:spacing w:line="580" w:lineRule="exact"/>
        <w:ind w:firstLine="560" w:firstLineChars="200"/>
        <w:rPr>
          <w:sz w:val="28"/>
          <w:szCs w:val="28"/>
        </w:rPr>
      </w:pPr>
      <w:r>
        <w:rPr>
          <w:rFonts w:hint="eastAsia"/>
          <w:sz w:val="28"/>
          <w:szCs w:val="28"/>
        </w:rPr>
        <w:t>防沙治沙成效显著：累计完成防沙治沙面积30万亩，森林覆盖率提升至</w:t>
      </w:r>
      <w:r>
        <w:rPr>
          <w:sz w:val="28"/>
          <w:szCs w:val="28"/>
        </w:rPr>
        <w:t>3.95</w:t>
      </w:r>
      <w:r>
        <w:rPr>
          <w:rFonts w:hint="eastAsia"/>
          <w:sz w:val="28"/>
          <w:szCs w:val="28"/>
        </w:rPr>
        <w:t>%，形成“外围封沙育林、中部防风固沙、内部生态农业”的立体防护体系。</w:t>
      </w:r>
    </w:p>
    <w:p w14:paraId="4F5D8F68">
      <w:pPr>
        <w:spacing w:line="580" w:lineRule="exact"/>
        <w:ind w:firstLine="560" w:firstLineChars="200"/>
        <w:rPr>
          <w:sz w:val="28"/>
          <w:szCs w:val="28"/>
        </w:rPr>
      </w:pPr>
      <w:r>
        <w:rPr>
          <w:rFonts w:hint="eastAsia"/>
          <w:sz w:val="28"/>
          <w:szCs w:val="28"/>
        </w:rPr>
        <w:t>水资源高效利用：优良水体比例保持在1</w:t>
      </w:r>
      <w:r>
        <w:rPr>
          <w:sz w:val="28"/>
          <w:szCs w:val="28"/>
        </w:rPr>
        <w:t>00</w:t>
      </w:r>
      <w:r>
        <w:rPr>
          <w:rFonts w:hint="eastAsia"/>
          <w:sz w:val="28"/>
          <w:szCs w:val="28"/>
        </w:rPr>
        <w:t>%，重点推进高效节水灌溉体系建设，提升农业用水集约化水平，农业灌溉水利用系数提升至0.</w:t>
      </w:r>
      <w:r>
        <w:rPr>
          <w:sz w:val="28"/>
          <w:szCs w:val="28"/>
        </w:rPr>
        <w:t>61</w:t>
      </w:r>
      <w:r>
        <w:rPr>
          <w:rFonts w:hint="eastAsia"/>
          <w:sz w:val="28"/>
          <w:szCs w:val="28"/>
        </w:rPr>
        <w:t>。严格落实水资源刚性约束制度，开展农业用水总量控制与用水效率双控管理。所有新增农业、畜牧业及设施农业项目必须开展水资源论证，确保与区域水资源承载能力相匹配。</w:t>
      </w:r>
    </w:p>
    <w:p w14:paraId="320C01D5">
      <w:pPr>
        <w:spacing w:line="580" w:lineRule="exact"/>
        <w:ind w:firstLine="560" w:firstLineChars="200"/>
        <w:rPr>
          <w:sz w:val="28"/>
          <w:szCs w:val="28"/>
        </w:rPr>
      </w:pPr>
      <w:r>
        <w:rPr>
          <w:rFonts w:hint="eastAsia"/>
          <w:sz w:val="28"/>
          <w:szCs w:val="28"/>
        </w:rPr>
        <w:t>土壤质量改善：耕地土壤有机质含量平均提升至1.5%，沙化耕地治理率达80%，盐碱地改良面积扩大至20万亩，耐盐作物种植占比达40%。</w:t>
      </w:r>
    </w:p>
    <w:p w14:paraId="53914138">
      <w:pPr>
        <w:spacing w:line="580" w:lineRule="exact"/>
        <w:ind w:firstLine="560" w:firstLineChars="200"/>
        <w:rPr>
          <w:sz w:val="28"/>
          <w:szCs w:val="28"/>
        </w:rPr>
      </w:pPr>
      <w:r>
        <w:rPr>
          <w:rFonts w:hint="eastAsia"/>
          <w:sz w:val="28"/>
          <w:szCs w:val="28"/>
        </w:rPr>
        <w:t>通过上述目标设定与空间布局安排，皮山县将在“十五五”期间实现农业和畜牧业的协调、可持续发展，打造南疆地区具有示范效应的现代农业样板县。</w:t>
      </w:r>
    </w:p>
    <w:p w14:paraId="2533F5D3">
      <w:pPr>
        <w:jc w:val="center"/>
        <w:rPr>
          <w:sz w:val="28"/>
          <w:szCs w:val="28"/>
        </w:rPr>
      </w:pPr>
      <w:r>
        <w:drawing>
          <wp:inline distT="0" distB="0" distL="0" distR="0">
            <wp:extent cx="3906520" cy="317373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3910049" cy="3176463"/>
                    </a:xfrm>
                    <a:prstGeom prst="rect">
                      <a:avLst/>
                    </a:prstGeom>
                  </pic:spPr>
                </pic:pic>
              </a:graphicData>
            </a:graphic>
          </wp:inline>
        </w:drawing>
      </w:r>
    </w:p>
    <w:p w14:paraId="5AA1EC4C">
      <w:pPr>
        <w:jc w:val="center"/>
        <w:rPr>
          <w:b/>
          <w:sz w:val="28"/>
          <w:szCs w:val="28"/>
        </w:rPr>
      </w:pPr>
      <w:r>
        <w:rPr>
          <w:rFonts w:hint="eastAsia"/>
          <w:b/>
          <w:sz w:val="28"/>
          <w:szCs w:val="28"/>
        </w:rPr>
        <w:t>图3-6科克铁热克镇产业布局规划图</w:t>
      </w:r>
    </w:p>
    <w:p w14:paraId="33060D41">
      <w:pPr>
        <w:jc w:val="center"/>
        <w:rPr>
          <w:b/>
          <w:sz w:val="28"/>
          <w:szCs w:val="28"/>
        </w:rPr>
      </w:pPr>
      <w:r>
        <w:drawing>
          <wp:inline distT="0" distB="0" distL="0" distR="0">
            <wp:extent cx="5306060" cy="4312285"/>
            <wp:effectExtent l="0" t="0" r="889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stretch>
                      <a:fillRect/>
                    </a:stretch>
                  </pic:blipFill>
                  <pic:spPr>
                    <a:xfrm>
                      <a:off x="0" y="0"/>
                      <a:ext cx="5306291" cy="4312590"/>
                    </a:xfrm>
                    <a:prstGeom prst="rect">
                      <a:avLst/>
                    </a:prstGeom>
                  </pic:spPr>
                </pic:pic>
              </a:graphicData>
            </a:graphic>
          </wp:inline>
        </w:drawing>
      </w:r>
    </w:p>
    <w:p w14:paraId="77580A5A">
      <w:pPr>
        <w:jc w:val="center"/>
        <w:rPr>
          <w:b/>
          <w:sz w:val="28"/>
          <w:szCs w:val="28"/>
        </w:rPr>
      </w:pPr>
      <w:r>
        <w:rPr>
          <w:rFonts w:hint="eastAsia"/>
          <w:b/>
          <w:sz w:val="28"/>
          <w:szCs w:val="28"/>
        </w:rPr>
        <w:t>图3-7巴什兰干乡产业布局规划图</w:t>
      </w:r>
    </w:p>
    <w:p w14:paraId="7010F904">
      <w:pPr>
        <w:jc w:val="center"/>
        <w:rPr>
          <w:b/>
          <w:sz w:val="28"/>
          <w:szCs w:val="28"/>
        </w:rPr>
      </w:pPr>
      <w:r>
        <w:drawing>
          <wp:inline distT="0" distB="0" distL="0" distR="0">
            <wp:extent cx="5773420" cy="3193415"/>
            <wp:effectExtent l="0" t="0" r="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tretch>
                      <a:fillRect/>
                    </a:stretch>
                  </pic:blipFill>
                  <pic:spPr>
                    <a:xfrm>
                      <a:off x="0" y="0"/>
                      <a:ext cx="5774498" cy="3194019"/>
                    </a:xfrm>
                    <a:prstGeom prst="rect">
                      <a:avLst/>
                    </a:prstGeom>
                  </pic:spPr>
                </pic:pic>
              </a:graphicData>
            </a:graphic>
          </wp:inline>
        </w:drawing>
      </w:r>
    </w:p>
    <w:p w14:paraId="07D45BAB">
      <w:pPr>
        <w:jc w:val="center"/>
        <w:rPr>
          <w:b/>
          <w:sz w:val="28"/>
          <w:szCs w:val="28"/>
        </w:rPr>
      </w:pPr>
      <w:r>
        <w:rPr>
          <w:rFonts w:hint="eastAsia"/>
          <w:b/>
          <w:sz w:val="28"/>
          <w:szCs w:val="28"/>
        </w:rPr>
        <w:t>图3-8 藏桂乡产业布局规划图</w:t>
      </w:r>
    </w:p>
    <w:p w14:paraId="48C5E70A">
      <w:pPr>
        <w:jc w:val="center"/>
        <w:rPr>
          <w:b/>
          <w:sz w:val="28"/>
          <w:szCs w:val="28"/>
        </w:rPr>
      </w:pPr>
      <w:r>
        <w:drawing>
          <wp:inline distT="0" distB="0" distL="0" distR="0">
            <wp:extent cx="3782060" cy="4032250"/>
            <wp:effectExtent l="0" t="0" r="889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6"/>
                    <a:stretch>
                      <a:fillRect/>
                    </a:stretch>
                  </pic:blipFill>
                  <pic:spPr>
                    <a:xfrm>
                      <a:off x="0" y="0"/>
                      <a:ext cx="3789755" cy="4040650"/>
                    </a:xfrm>
                    <a:prstGeom prst="rect">
                      <a:avLst/>
                    </a:prstGeom>
                  </pic:spPr>
                </pic:pic>
              </a:graphicData>
            </a:graphic>
          </wp:inline>
        </w:drawing>
      </w:r>
    </w:p>
    <w:p w14:paraId="03439A08">
      <w:pPr>
        <w:jc w:val="center"/>
        <w:rPr>
          <w:b/>
          <w:sz w:val="28"/>
          <w:szCs w:val="28"/>
        </w:rPr>
      </w:pPr>
      <w:r>
        <w:rPr>
          <w:rFonts w:hint="eastAsia"/>
          <w:b/>
          <w:sz w:val="28"/>
          <w:szCs w:val="28"/>
        </w:rPr>
        <w:t>图3-9 杜瓦镇产业布局规划图</w:t>
      </w:r>
    </w:p>
    <w:p w14:paraId="487A5AA7">
      <w:pPr>
        <w:jc w:val="center"/>
        <w:rPr>
          <w:b/>
          <w:sz w:val="28"/>
          <w:szCs w:val="28"/>
        </w:rPr>
      </w:pPr>
      <w:r>
        <w:drawing>
          <wp:inline distT="0" distB="0" distL="0" distR="0">
            <wp:extent cx="3324860" cy="4548505"/>
            <wp:effectExtent l="0" t="0" r="889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7"/>
                    <a:stretch>
                      <a:fillRect/>
                    </a:stretch>
                  </pic:blipFill>
                  <pic:spPr>
                    <a:xfrm>
                      <a:off x="0" y="0"/>
                      <a:ext cx="3326784" cy="4551224"/>
                    </a:xfrm>
                    <a:prstGeom prst="rect">
                      <a:avLst/>
                    </a:prstGeom>
                  </pic:spPr>
                </pic:pic>
              </a:graphicData>
            </a:graphic>
          </wp:inline>
        </w:drawing>
      </w:r>
    </w:p>
    <w:p w14:paraId="22BBE5C6">
      <w:pPr>
        <w:jc w:val="center"/>
        <w:rPr>
          <w:b/>
          <w:sz w:val="28"/>
          <w:szCs w:val="28"/>
        </w:rPr>
      </w:pPr>
      <w:r>
        <w:rPr>
          <w:rFonts w:hint="eastAsia"/>
          <w:b/>
          <w:sz w:val="28"/>
          <w:szCs w:val="28"/>
        </w:rPr>
        <w:t>图3-10 康克尔乡产业布局规划图</w:t>
      </w:r>
    </w:p>
    <w:p w14:paraId="386B63C9">
      <w:pPr>
        <w:jc w:val="center"/>
        <w:rPr>
          <w:b/>
          <w:sz w:val="28"/>
          <w:szCs w:val="28"/>
        </w:rPr>
      </w:pPr>
      <w:r>
        <w:drawing>
          <wp:inline distT="0" distB="0" distL="0" distR="0">
            <wp:extent cx="5368290" cy="2858770"/>
            <wp:effectExtent l="0" t="0" r="381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8"/>
                    <a:srcRect r="2147"/>
                    <a:stretch>
                      <a:fillRect/>
                    </a:stretch>
                  </pic:blipFill>
                  <pic:spPr>
                    <a:xfrm>
                      <a:off x="0" y="0"/>
                      <a:ext cx="5368636" cy="2858770"/>
                    </a:xfrm>
                    <a:prstGeom prst="rect">
                      <a:avLst/>
                    </a:prstGeom>
                    <a:ln>
                      <a:noFill/>
                    </a:ln>
                  </pic:spPr>
                </pic:pic>
              </a:graphicData>
            </a:graphic>
          </wp:inline>
        </w:drawing>
      </w:r>
    </w:p>
    <w:p w14:paraId="3C429BB8">
      <w:pPr>
        <w:jc w:val="center"/>
        <w:rPr>
          <w:b/>
          <w:sz w:val="28"/>
          <w:szCs w:val="28"/>
        </w:rPr>
      </w:pPr>
      <w:r>
        <w:rPr>
          <w:rFonts w:hint="eastAsia"/>
          <w:b/>
          <w:sz w:val="28"/>
          <w:szCs w:val="28"/>
        </w:rPr>
        <w:t>图3-11 克里阳乡产业布局规划图</w:t>
      </w:r>
    </w:p>
    <w:p w14:paraId="770FE5DE">
      <w:pPr>
        <w:jc w:val="center"/>
        <w:rPr>
          <w:b/>
          <w:sz w:val="28"/>
          <w:szCs w:val="28"/>
        </w:rPr>
      </w:pPr>
      <w:r>
        <w:drawing>
          <wp:inline distT="0" distB="0" distL="0" distR="0">
            <wp:extent cx="5174615" cy="4593590"/>
            <wp:effectExtent l="0" t="0" r="698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9"/>
                    <a:stretch>
                      <a:fillRect/>
                    </a:stretch>
                  </pic:blipFill>
                  <pic:spPr>
                    <a:xfrm>
                      <a:off x="0" y="0"/>
                      <a:ext cx="5181413" cy="4599703"/>
                    </a:xfrm>
                    <a:prstGeom prst="rect">
                      <a:avLst/>
                    </a:prstGeom>
                  </pic:spPr>
                </pic:pic>
              </a:graphicData>
            </a:graphic>
          </wp:inline>
        </w:drawing>
      </w:r>
    </w:p>
    <w:p w14:paraId="3B88AA6A">
      <w:pPr>
        <w:jc w:val="center"/>
        <w:rPr>
          <w:b/>
          <w:sz w:val="28"/>
          <w:szCs w:val="28"/>
        </w:rPr>
      </w:pPr>
      <w:r>
        <w:rPr>
          <w:rFonts w:hint="eastAsia"/>
          <w:b/>
          <w:sz w:val="28"/>
          <w:szCs w:val="28"/>
        </w:rPr>
        <w:t>图3-12阔什塔格镇产业布局规划图</w:t>
      </w:r>
    </w:p>
    <w:p w14:paraId="4D4B6EE5">
      <w:pPr>
        <w:widowControl/>
        <w:jc w:val="center"/>
        <w:rPr>
          <w:b/>
          <w:sz w:val="28"/>
          <w:szCs w:val="28"/>
        </w:rPr>
      </w:pPr>
      <w:r>
        <w:drawing>
          <wp:inline distT="0" distB="0" distL="0" distR="0">
            <wp:extent cx="5486400" cy="25590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0"/>
                    <a:stretch>
                      <a:fillRect/>
                    </a:stretch>
                  </pic:blipFill>
                  <pic:spPr>
                    <a:xfrm>
                      <a:off x="0" y="0"/>
                      <a:ext cx="5486400" cy="2559050"/>
                    </a:xfrm>
                    <a:prstGeom prst="rect">
                      <a:avLst/>
                    </a:prstGeom>
                  </pic:spPr>
                </pic:pic>
              </a:graphicData>
            </a:graphic>
          </wp:inline>
        </w:drawing>
      </w:r>
    </w:p>
    <w:p w14:paraId="53EAA6BD">
      <w:pPr>
        <w:widowControl/>
        <w:jc w:val="center"/>
        <w:rPr>
          <w:b/>
          <w:sz w:val="28"/>
          <w:szCs w:val="28"/>
        </w:rPr>
      </w:pPr>
      <w:r>
        <w:rPr>
          <w:rFonts w:hint="eastAsia"/>
          <w:b/>
          <w:sz w:val="28"/>
          <w:szCs w:val="28"/>
        </w:rPr>
        <w:t>图3-13木奎拉乡产业布局规划图</w:t>
      </w:r>
    </w:p>
    <w:p w14:paraId="1AFB7250">
      <w:pPr>
        <w:jc w:val="center"/>
        <w:rPr>
          <w:b/>
          <w:sz w:val="28"/>
          <w:szCs w:val="28"/>
        </w:rPr>
      </w:pPr>
    </w:p>
    <w:p w14:paraId="5B0FDDBD">
      <w:pPr>
        <w:jc w:val="center"/>
        <w:rPr>
          <w:b/>
          <w:sz w:val="28"/>
          <w:szCs w:val="28"/>
        </w:rPr>
      </w:pPr>
      <w:r>
        <w:drawing>
          <wp:inline distT="0" distB="0" distL="0" distR="0">
            <wp:extent cx="4719320" cy="4793615"/>
            <wp:effectExtent l="0" t="0" r="5080" b="698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1"/>
                    <a:stretch>
                      <a:fillRect/>
                    </a:stretch>
                  </pic:blipFill>
                  <pic:spPr>
                    <a:xfrm>
                      <a:off x="0" y="0"/>
                      <a:ext cx="4723447" cy="4797250"/>
                    </a:xfrm>
                    <a:prstGeom prst="rect">
                      <a:avLst/>
                    </a:prstGeom>
                  </pic:spPr>
                </pic:pic>
              </a:graphicData>
            </a:graphic>
          </wp:inline>
        </w:drawing>
      </w:r>
    </w:p>
    <w:p w14:paraId="5561CCAF">
      <w:pPr>
        <w:widowControl/>
        <w:jc w:val="center"/>
        <w:rPr>
          <w:b/>
          <w:sz w:val="28"/>
          <w:szCs w:val="28"/>
        </w:rPr>
      </w:pPr>
      <w:r>
        <w:rPr>
          <w:rFonts w:hint="eastAsia"/>
          <w:b/>
          <w:sz w:val="28"/>
          <w:szCs w:val="28"/>
        </w:rPr>
        <w:t>图3-14木吉镇产业布局规划图</w:t>
      </w:r>
    </w:p>
    <w:p w14:paraId="3FFE7CAE">
      <w:pPr>
        <w:widowControl/>
        <w:jc w:val="center"/>
        <w:rPr>
          <w:b/>
          <w:sz w:val="28"/>
          <w:szCs w:val="28"/>
        </w:rPr>
      </w:pPr>
      <w:r>
        <w:drawing>
          <wp:inline distT="0" distB="0" distL="0" distR="0">
            <wp:extent cx="5486400" cy="2736215"/>
            <wp:effectExtent l="0" t="0" r="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2"/>
                    <a:stretch>
                      <a:fillRect/>
                    </a:stretch>
                  </pic:blipFill>
                  <pic:spPr>
                    <a:xfrm>
                      <a:off x="0" y="0"/>
                      <a:ext cx="5486400" cy="2736215"/>
                    </a:xfrm>
                    <a:prstGeom prst="rect">
                      <a:avLst/>
                    </a:prstGeom>
                  </pic:spPr>
                </pic:pic>
              </a:graphicData>
            </a:graphic>
          </wp:inline>
        </w:drawing>
      </w:r>
    </w:p>
    <w:p w14:paraId="6B0D7C6D">
      <w:pPr>
        <w:widowControl/>
        <w:jc w:val="center"/>
        <w:rPr>
          <w:b/>
          <w:sz w:val="28"/>
          <w:szCs w:val="28"/>
        </w:rPr>
      </w:pPr>
      <w:r>
        <w:rPr>
          <w:rFonts w:hint="eastAsia"/>
          <w:b/>
          <w:sz w:val="28"/>
          <w:szCs w:val="28"/>
        </w:rPr>
        <w:t>图3-15 垴阿巴提塔吉克民族乡产业布局规划图</w:t>
      </w:r>
    </w:p>
    <w:p w14:paraId="77C4188A">
      <w:pPr>
        <w:widowControl/>
        <w:jc w:val="center"/>
      </w:pPr>
    </w:p>
    <w:p w14:paraId="66E1AB3F">
      <w:pPr>
        <w:widowControl/>
        <w:jc w:val="center"/>
        <w:rPr>
          <w:b/>
          <w:sz w:val="28"/>
          <w:szCs w:val="28"/>
        </w:rPr>
      </w:pPr>
      <w:r>
        <w:drawing>
          <wp:inline distT="0" distB="0" distL="0" distR="0">
            <wp:extent cx="4977765" cy="257683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3"/>
                    <a:srcRect b="18767"/>
                    <a:stretch>
                      <a:fillRect/>
                    </a:stretch>
                  </pic:blipFill>
                  <pic:spPr>
                    <a:xfrm>
                      <a:off x="0" y="0"/>
                      <a:ext cx="4977903" cy="2576945"/>
                    </a:xfrm>
                    <a:prstGeom prst="rect">
                      <a:avLst/>
                    </a:prstGeom>
                    <a:ln>
                      <a:noFill/>
                    </a:ln>
                  </pic:spPr>
                </pic:pic>
              </a:graphicData>
            </a:graphic>
          </wp:inline>
        </w:drawing>
      </w:r>
    </w:p>
    <w:p w14:paraId="4FE35214">
      <w:pPr>
        <w:widowControl/>
        <w:jc w:val="center"/>
        <w:rPr>
          <w:b/>
          <w:sz w:val="28"/>
          <w:szCs w:val="28"/>
        </w:rPr>
      </w:pPr>
      <w:r>
        <w:rPr>
          <w:rFonts w:hint="eastAsia"/>
          <w:b/>
          <w:sz w:val="28"/>
          <w:szCs w:val="28"/>
        </w:rPr>
        <w:t>图3-16皮西那产业布局规划图</w:t>
      </w:r>
    </w:p>
    <w:p w14:paraId="7E6874ED">
      <w:pPr>
        <w:widowControl/>
        <w:jc w:val="center"/>
        <w:rPr>
          <w:b/>
          <w:sz w:val="28"/>
          <w:szCs w:val="28"/>
        </w:rPr>
      </w:pPr>
      <w:r>
        <w:drawing>
          <wp:inline distT="0" distB="0" distL="0" distR="0">
            <wp:extent cx="5008245" cy="2144395"/>
            <wp:effectExtent l="0" t="0" r="1905"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4"/>
                    <a:stretch>
                      <a:fillRect/>
                    </a:stretch>
                  </pic:blipFill>
                  <pic:spPr>
                    <a:xfrm>
                      <a:off x="0" y="0"/>
                      <a:ext cx="5010881" cy="2145864"/>
                    </a:xfrm>
                    <a:prstGeom prst="rect">
                      <a:avLst/>
                    </a:prstGeom>
                  </pic:spPr>
                </pic:pic>
              </a:graphicData>
            </a:graphic>
          </wp:inline>
        </w:drawing>
      </w:r>
    </w:p>
    <w:p w14:paraId="291F32C9">
      <w:pPr>
        <w:widowControl/>
        <w:jc w:val="center"/>
        <w:rPr>
          <w:b/>
          <w:sz w:val="28"/>
          <w:szCs w:val="28"/>
        </w:rPr>
      </w:pPr>
      <w:r>
        <w:rPr>
          <w:rFonts w:hint="eastAsia"/>
          <w:b/>
          <w:sz w:val="28"/>
          <w:szCs w:val="28"/>
        </w:rPr>
        <w:t>图3-17 皮亚勒玛乡产业布局规划图</w:t>
      </w:r>
    </w:p>
    <w:p w14:paraId="01D1A039">
      <w:pPr>
        <w:widowControl/>
        <w:jc w:val="center"/>
        <w:rPr>
          <w:b/>
          <w:sz w:val="28"/>
          <w:szCs w:val="28"/>
        </w:rPr>
      </w:pPr>
      <w:r>
        <w:drawing>
          <wp:inline distT="0" distB="0" distL="0" distR="0">
            <wp:extent cx="5797550" cy="196342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5"/>
                    <a:stretch>
                      <a:fillRect/>
                    </a:stretch>
                  </pic:blipFill>
                  <pic:spPr>
                    <a:xfrm>
                      <a:off x="0" y="0"/>
                      <a:ext cx="5802217" cy="1964964"/>
                    </a:xfrm>
                    <a:prstGeom prst="rect">
                      <a:avLst/>
                    </a:prstGeom>
                  </pic:spPr>
                </pic:pic>
              </a:graphicData>
            </a:graphic>
          </wp:inline>
        </w:drawing>
      </w:r>
    </w:p>
    <w:p w14:paraId="0ED371C6">
      <w:pPr>
        <w:widowControl/>
        <w:jc w:val="center"/>
        <w:rPr>
          <w:b/>
          <w:sz w:val="28"/>
          <w:szCs w:val="28"/>
        </w:rPr>
      </w:pPr>
      <w:r>
        <w:rPr>
          <w:rFonts w:hint="eastAsia"/>
          <w:b/>
          <w:sz w:val="28"/>
          <w:szCs w:val="28"/>
        </w:rPr>
        <w:t>图3-18 乔达乡产业布局规划图</w:t>
      </w:r>
    </w:p>
    <w:p w14:paraId="18CE0991">
      <w:pPr>
        <w:widowControl/>
        <w:jc w:val="center"/>
        <w:rPr>
          <w:rFonts w:eastAsia="宋体"/>
          <w:b/>
          <w:szCs w:val="20"/>
        </w:rPr>
      </w:pPr>
      <w:r>
        <w:drawing>
          <wp:inline distT="0" distB="0" distL="0" distR="0">
            <wp:extent cx="5486400" cy="3199130"/>
            <wp:effectExtent l="0" t="0" r="0"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6"/>
                    <a:stretch>
                      <a:fillRect/>
                    </a:stretch>
                  </pic:blipFill>
                  <pic:spPr>
                    <a:xfrm>
                      <a:off x="0" y="0"/>
                      <a:ext cx="5486400" cy="3199130"/>
                    </a:xfrm>
                    <a:prstGeom prst="rect">
                      <a:avLst/>
                    </a:prstGeom>
                  </pic:spPr>
                </pic:pic>
              </a:graphicData>
            </a:graphic>
          </wp:inline>
        </w:drawing>
      </w:r>
    </w:p>
    <w:p w14:paraId="67DF509F">
      <w:pPr>
        <w:widowControl/>
        <w:jc w:val="center"/>
        <w:rPr>
          <w:rFonts w:eastAsia="宋体"/>
          <w:b/>
          <w:szCs w:val="20"/>
        </w:rPr>
      </w:pPr>
      <w:r>
        <w:rPr>
          <w:rFonts w:hint="eastAsia"/>
          <w:b/>
          <w:sz w:val="28"/>
          <w:szCs w:val="28"/>
        </w:rPr>
        <w:t xml:space="preserve">图3-19 </w:t>
      </w:r>
      <w:r>
        <w:rPr>
          <w:rFonts w:hint="eastAsia"/>
          <w:sz w:val="28"/>
          <w:szCs w:val="28"/>
        </w:rPr>
        <w:t>桑株镇</w:t>
      </w:r>
      <w:r>
        <w:rPr>
          <w:rFonts w:hint="eastAsia"/>
          <w:b/>
          <w:sz w:val="28"/>
          <w:szCs w:val="28"/>
        </w:rPr>
        <w:t>产业布局规划图</w:t>
      </w:r>
    </w:p>
    <w:p w14:paraId="5AF91DE3">
      <w:pPr>
        <w:widowControl/>
        <w:jc w:val="left"/>
        <w:rPr>
          <w:rFonts w:eastAsia="宋体"/>
          <w:b/>
          <w:szCs w:val="20"/>
        </w:rPr>
      </w:pPr>
    </w:p>
    <w:p w14:paraId="60A3E391">
      <w:pPr>
        <w:widowControl/>
        <w:jc w:val="left"/>
        <w:rPr>
          <w:rFonts w:eastAsia="宋体"/>
          <w:b/>
          <w:kern w:val="44"/>
          <w:szCs w:val="20"/>
        </w:rPr>
      </w:pPr>
    </w:p>
    <w:p w14:paraId="09A0B53F">
      <w:pPr>
        <w:widowControl/>
        <w:jc w:val="left"/>
        <w:rPr>
          <w:rFonts w:eastAsia="宋体"/>
          <w:b/>
          <w:kern w:val="44"/>
          <w:szCs w:val="20"/>
        </w:rPr>
      </w:pPr>
      <w:r>
        <w:rPr>
          <w:rFonts w:eastAsia="宋体"/>
          <w:b/>
          <w:szCs w:val="20"/>
        </w:rPr>
        <w:br w:type="page"/>
      </w:r>
    </w:p>
    <w:p w14:paraId="3D29A876">
      <w:pPr>
        <w:pStyle w:val="2"/>
        <w:widowControl/>
        <w:spacing w:line="600" w:lineRule="exact"/>
        <w:jc w:val="center"/>
        <w:rPr>
          <w:rFonts w:ascii="Times New Roman" w:hAnsi="Times New Roman" w:eastAsia="宋体"/>
          <w:b/>
          <w:sz w:val="32"/>
          <w:szCs w:val="20"/>
        </w:rPr>
      </w:pPr>
      <w:bookmarkStart w:id="56" w:name="_Toc237987607"/>
      <w:r>
        <w:rPr>
          <w:rFonts w:hint="eastAsia" w:ascii="Times New Roman" w:hAnsi="Times New Roman" w:eastAsia="宋体"/>
          <w:b/>
          <w:sz w:val="32"/>
          <w:szCs w:val="20"/>
        </w:rPr>
        <w:t>第四章 “十五五”农业农村重点发展目标</w:t>
      </w:r>
      <w:bookmarkEnd w:id="56"/>
    </w:p>
    <w:p w14:paraId="2FEF5A11">
      <w:pPr>
        <w:pStyle w:val="3"/>
        <w:widowControl/>
        <w:spacing w:before="0" w:after="0" w:line="600" w:lineRule="exact"/>
        <w:ind w:firstLine="562" w:firstLineChars="200"/>
        <w:rPr>
          <w:rFonts w:ascii="Arial" w:hAnsi="Arial" w:eastAsia="黑体"/>
          <w:bCs w:val="0"/>
          <w:kern w:val="0"/>
          <w:sz w:val="28"/>
          <w:szCs w:val="20"/>
        </w:rPr>
      </w:pPr>
      <w:bookmarkStart w:id="57" w:name="_Toc237987608"/>
      <w:r>
        <w:rPr>
          <w:rFonts w:hint="eastAsia" w:ascii="Arial" w:hAnsi="Arial" w:eastAsia="黑体"/>
          <w:bCs w:val="0"/>
          <w:kern w:val="0"/>
          <w:sz w:val="28"/>
          <w:szCs w:val="20"/>
        </w:rPr>
        <w:t>一、全方位夯实粮食安全根基</w:t>
      </w:r>
      <w:bookmarkEnd w:id="57"/>
    </w:p>
    <w:p w14:paraId="7DBB59C1">
      <w:pPr>
        <w:pStyle w:val="4"/>
        <w:keepLines w:val="0"/>
        <w:topLinePunct/>
        <w:spacing w:before="0" w:after="0" w:line="540" w:lineRule="exact"/>
        <w:ind w:firstLine="590" w:firstLineChars="210"/>
        <w:rPr>
          <w:sz w:val="28"/>
          <w:szCs w:val="28"/>
        </w:rPr>
      </w:pPr>
      <w:bookmarkStart w:id="58" w:name="_Toc237987609"/>
      <w:r>
        <w:rPr>
          <w:rFonts w:hint="eastAsia"/>
          <w:sz w:val="28"/>
          <w:szCs w:val="28"/>
        </w:rPr>
        <w:t>（一）提升粮食和重要农产品生产水平</w:t>
      </w:r>
      <w:bookmarkEnd w:id="58"/>
    </w:p>
    <w:p w14:paraId="31490B3C">
      <w:pPr>
        <w:spacing w:line="580" w:lineRule="exact"/>
        <w:ind w:firstLine="560" w:firstLineChars="200"/>
        <w:rPr>
          <w:sz w:val="28"/>
          <w:szCs w:val="28"/>
        </w:rPr>
      </w:pPr>
      <w:r>
        <w:rPr>
          <w:rFonts w:hint="eastAsia"/>
          <w:sz w:val="28"/>
          <w:szCs w:val="28"/>
        </w:rPr>
        <w:t>1．持续深入实施粮油主要作物单产提升行动，推进产量和品质提升。积极争取中央、自治区耕地地力保护补贴项目、粮食规模种植主体单产提升行动、小麦绿色高产高效行动和玉米种植补贴等项目。稳定小麦、玉米种植面积。</w:t>
      </w:r>
    </w:p>
    <w:p w14:paraId="790670D0">
      <w:pPr>
        <w:spacing w:line="580" w:lineRule="exact"/>
        <w:ind w:firstLine="560" w:firstLineChars="200"/>
        <w:rPr>
          <w:sz w:val="28"/>
          <w:szCs w:val="28"/>
        </w:rPr>
      </w:pPr>
      <w:r>
        <w:rPr>
          <w:rFonts w:hint="eastAsia"/>
          <w:sz w:val="28"/>
          <w:szCs w:val="28"/>
        </w:rPr>
        <w:t>2．科技赋能粮油种植，优化布局促规模发展。引进适配良种，推广测土配方施肥、节水灌溉等技术，建标准化种植示范基地，支持新型经营主体适度规模经营。</w:t>
      </w:r>
    </w:p>
    <w:p w14:paraId="5DC90039">
      <w:pPr>
        <w:spacing w:line="580" w:lineRule="exact"/>
        <w:ind w:firstLine="560" w:firstLineChars="200"/>
        <w:rPr>
          <w:sz w:val="28"/>
          <w:szCs w:val="28"/>
        </w:rPr>
      </w:pPr>
      <w:r>
        <w:rPr>
          <w:rFonts w:hint="eastAsia"/>
          <w:sz w:val="28"/>
          <w:szCs w:val="28"/>
        </w:rPr>
        <w:t>3．完善产储销体系，扶持加工企业开发多元产品，加强与疆内外市场合作。</w:t>
      </w:r>
    </w:p>
    <w:p w14:paraId="27E5AE3E">
      <w:pPr>
        <w:pStyle w:val="4"/>
        <w:keepLines w:val="0"/>
        <w:topLinePunct/>
        <w:spacing w:before="0" w:after="0" w:line="540" w:lineRule="exact"/>
        <w:ind w:firstLine="590" w:firstLineChars="210"/>
        <w:rPr>
          <w:sz w:val="28"/>
          <w:szCs w:val="28"/>
        </w:rPr>
      </w:pPr>
      <w:bookmarkStart w:id="59" w:name="_Toc237987610"/>
      <w:r>
        <w:rPr>
          <w:rFonts w:hint="eastAsia"/>
          <w:sz w:val="28"/>
          <w:szCs w:val="28"/>
        </w:rPr>
        <w:t>（二）全面加强耕地保护和建设</w:t>
      </w:r>
      <w:bookmarkEnd w:id="59"/>
    </w:p>
    <w:p w14:paraId="177CFA10">
      <w:pPr>
        <w:spacing w:line="580" w:lineRule="exact"/>
        <w:ind w:firstLine="560" w:firstLineChars="200"/>
        <w:rPr>
          <w:sz w:val="28"/>
          <w:szCs w:val="28"/>
        </w:rPr>
      </w:pPr>
      <w:r>
        <w:rPr>
          <w:rFonts w:hint="eastAsia"/>
          <w:sz w:val="28"/>
          <w:szCs w:val="28"/>
        </w:rPr>
        <w:t>1．抓好适宜耕地高标准农田建设。紧盯中央逐步将具备建设条件的永久基本农田建设成高标准农田的目标任务，结合皮山县实际，以“节水、增地、增产”为主要建设方向，坚持“一平整、两突出、三畅通、四提升”建设标准，实现粮食增产、农民增收、农业增效。</w:t>
      </w:r>
    </w:p>
    <w:p w14:paraId="353918B4">
      <w:pPr>
        <w:spacing w:line="580" w:lineRule="exact"/>
        <w:ind w:firstLine="560" w:firstLineChars="200"/>
        <w:rPr>
          <w:sz w:val="28"/>
          <w:szCs w:val="28"/>
        </w:rPr>
      </w:pPr>
      <w:r>
        <w:rPr>
          <w:rFonts w:hint="eastAsia"/>
          <w:sz w:val="28"/>
          <w:szCs w:val="28"/>
        </w:rPr>
        <w:t>2．加大高效节水建设力度。大力推进高效节水，加大对零散、小地块的碎片化治理，采取工程措施推进小田并大田，配套小型简易节水滴灌设施，不断提高高效节水覆盖率，实现节水增效，提升产能。</w:t>
      </w:r>
    </w:p>
    <w:p w14:paraId="375125E9">
      <w:pPr>
        <w:pStyle w:val="4"/>
        <w:keepLines w:val="0"/>
        <w:topLinePunct/>
        <w:spacing w:before="0" w:after="0" w:line="540" w:lineRule="exact"/>
        <w:ind w:firstLine="590" w:firstLineChars="210"/>
        <w:rPr>
          <w:sz w:val="28"/>
          <w:szCs w:val="28"/>
        </w:rPr>
      </w:pPr>
      <w:bookmarkStart w:id="60" w:name="_Toc237987611"/>
      <w:r>
        <w:rPr>
          <w:rFonts w:hint="eastAsia"/>
          <w:sz w:val="28"/>
          <w:szCs w:val="28"/>
        </w:rPr>
        <w:t>（三）推动农机装备全面升级</w:t>
      </w:r>
      <w:bookmarkEnd w:id="60"/>
    </w:p>
    <w:p w14:paraId="6A0CDB83">
      <w:pPr>
        <w:spacing w:line="580" w:lineRule="exact"/>
        <w:ind w:firstLine="560" w:firstLineChars="200"/>
        <w:rPr>
          <w:sz w:val="28"/>
          <w:szCs w:val="28"/>
        </w:rPr>
      </w:pPr>
      <w:r>
        <w:rPr>
          <w:rFonts w:hint="eastAsia"/>
          <w:sz w:val="28"/>
          <w:szCs w:val="28"/>
        </w:rPr>
        <w:t>优化农机装备结构，推进老旧农机报废更新。落实报废更新补贴，重点淘汰高能耗、高污染、安全性差的老旧农机。补贴政策向绿色智能、复式高效、产业发展急需的短板弱项机具（植保无人机、北斗导航设备、畜牧机械、残膜回收机、精准施肥施药机、林果机械）倾斜。</w:t>
      </w:r>
    </w:p>
    <w:p w14:paraId="628EC1A7">
      <w:pPr>
        <w:pStyle w:val="3"/>
        <w:widowControl/>
        <w:spacing w:before="0" w:after="0" w:line="600" w:lineRule="exact"/>
        <w:ind w:firstLine="562" w:firstLineChars="200"/>
        <w:rPr>
          <w:rFonts w:ascii="Arial" w:hAnsi="Arial" w:eastAsia="黑体"/>
          <w:bCs w:val="0"/>
          <w:kern w:val="0"/>
          <w:sz w:val="28"/>
          <w:szCs w:val="20"/>
        </w:rPr>
      </w:pPr>
      <w:bookmarkStart w:id="61" w:name="_Toc237987612"/>
      <w:r>
        <w:rPr>
          <w:rFonts w:hint="eastAsia" w:ascii="Arial" w:hAnsi="Arial" w:eastAsia="黑体"/>
          <w:bCs w:val="0"/>
          <w:kern w:val="0"/>
          <w:sz w:val="28"/>
          <w:szCs w:val="20"/>
        </w:rPr>
        <w:t>二、提升畜禽产业质量和规模效应</w:t>
      </w:r>
      <w:bookmarkEnd w:id="61"/>
    </w:p>
    <w:p w14:paraId="32F5CF5A">
      <w:pPr>
        <w:pStyle w:val="4"/>
        <w:keepLines w:val="0"/>
        <w:topLinePunct/>
        <w:spacing w:before="0" w:after="0" w:line="540" w:lineRule="exact"/>
        <w:ind w:firstLine="590" w:firstLineChars="210"/>
        <w:rPr>
          <w:sz w:val="28"/>
          <w:szCs w:val="28"/>
        </w:rPr>
      </w:pPr>
      <w:bookmarkStart w:id="62" w:name="_Toc237987613"/>
      <w:r>
        <w:rPr>
          <w:rFonts w:hint="eastAsia"/>
          <w:sz w:val="28"/>
          <w:szCs w:val="28"/>
        </w:rPr>
        <w:t>（一）</w:t>
      </w:r>
      <w:r>
        <w:rPr>
          <w:sz w:val="28"/>
          <w:szCs w:val="28"/>
        </w:rPr>
        <w:t>加强畜牧业产业体系建设</w:t>
      </w:r>
      <w:bookmarkEnd w:id="62"/>
    </w:p>
    <w:p w14:paraId="0F416BB4">
      <w:pPr>
        <w:spacing w:line="580" w:lineRule="exact"/>
        <w:ind w:firstLine="560" w:firstLineChars="200"/>
        <w:rPr>
          <w:sz w:val="28"/>
          <w:szCs w:val="28"/>
        </w:rPr>
      </w:pPr>
      <w:r>
        <w:rPr>
          <w:rFonts w:hint="eastAsia"/>
          <w:sz w:val="28"/>
          <w:szCs w:val="28"/>
        </w:rPr>
        <w:t>1．加快推进畜禽产业结构调整优化。充分发挥地方政府和生产经营主体作用，坚持规模化方向，在草畜平衡约束下，优化畜牧业结构，合理控制载畜量，提升规模化与标准化水平。严格执行草畜平衡制度，建立动态载畜监测机制，防止草原退化与超载放牧。引导支持企业采取多种形式健全企农利益联结机制，推进标准化规模养殖。支持建设一批畜禽产业强镇、产业园和优势特色产业集群，构建梯次布局、协同推进的现代畜禽产业体系，形成“县有产业园、乡有规模养殖场、村有养殖示范户”的产业集聚带。继续开展畜禽养殖标准化示范创建，创建一批“畜禽良种化、养殖设施化、生产规范化、防疫制度化、粪污无害化”的畜禽养殖标准化示范场。</w:t>
      </w:r>
    </w:p>
    <w:p w14:paraId="4A570E74">
      <w:pPr>
        <w:spacing w:line="580" w:lineRule="exact"/>
        <w:ind w:firstLine="560" w:firstLineChars="200"/>
        <w:rPr>
          <w:sz w:val="28"/>
          <w:szCs w:val="28"/>
        </w:rPr>
      </w:pPr>
      <w:r>
        <w:rPr>
          <w:rFonts w:hint="eastAsia"/>
          <w:sz w:val="28"/>
          <w:szCs w:val="28"/>
        </w:rPr>
        <w:t>2．大力开展肉牛肉羊增量提质行动。肉羊产业坚持自繁自育为主、良种引进为辅，加快转变生产方式，着力提高肉羊繁殖成活率和产肉性能，建立专业化生产育肥生产模式，快速提高羊肉产能、促进农牧民增收。农区重点发展多胎（多羔）肉羊，以皮山红羊等适宜散养和规模养殖的羊品种为主，开展本品种选育，提高繁殖率和产肉性能。加强地方特色品种资源的保护与开发利用，加快皮山红羊等品种选育和提纯复壮，同时积极引进适宜本地养殖的优良品种，增加育肥出栏，扩增养殖规模，促进畜牧业多元化发展。</w:t>
      </w:r>
    </w:p>
    <w:p w14:paraId="742E9A73">
      <w:pPr>
        <w:spacing w:line="580" w:lineRule="exact"/>
        <w:ind w:firstLine="560" w:firstLineChars="200"/>
        <w:rPr>
          <w:sz w:val="28"/>
          <w:szCs w:val="28"/>
        </w:rPr>
      </w:pPr>
      <w:r>
        <w:rPr>
          <w:rFonts w:hint="eastAsia"/>
          <w:sz w:val="28"/>
          <w:szCs w:val="28"/>
        </w:rPr>
        <w:t>3．持续推动特色畜禽产业发展。集成推广高效养殖技术，建立育繁推体系，实现标准化规模养殖生产。鸡产业推进标准化规模养殖。鹅产业加快盘活现有帮扶产业项目资产，适度规模发展。推进兔产业规模化、标准化养殖基地建设，扩大种兔规模，增加商品出栏，优化精深加工，创建优质品牌，全面提升和田兔产品市场竞争力。</w:t>
      </w:r>
    </w:p>
    <w:p w14:paraId="257E453B">
      <w:pPr>
        <w:spacing w:line="580" w:lineRule="exact"/>
        <w:ind w:firstLine="560" w:firstLineChars="200"/>
        <w:rPr>
          <w:sz w:val="28"/>
          <w:szCs w:val="28"/>
        </w:rPr>
      </w:pPr>
      <w:r>
        <w:rPr>
          <w:rFonts w:hint="eastAsia"/>
          <w:sz w:val="28"/>
          <w:szCs w:val="28"/>
        </w:rPr>
        <w:t>4．推进畜禽肉制品检验检疫标准化。实施屠宰企业分级管理，开展屠宰标准化示范创建，推进屠宰生产可视化、生产信息实时化管理，推动屠宰企业落实屠宰检疫监督与加工产品质量监测全覆盖。加强畜产品质量监测，提升检验检测、监督检查、产地环境监控、投入品监管等能力，健全畜产品质量全程追溯机制，强化兽药、饲料等投入品监管及兽药残留监测，提高畜产品质量安全风险预警能力。实施畜产品质量提升工程，组织制定畜产品安全生产技术标准，完善畜产品地方标准体系，加强畜产品标准化生产技术和管理措施推广。引导生产经营主体落实畜产品承诺达标合格制度，对上市销售畜产品加施质量认证、品名产地、商标品牌等标识。严厉打击私屠滥宰等违法违规行为，确保养殖投入品合格率及动物源细菌耐药性、兽药残留等监测合格率保持在98%以上。</w:t>
      </w:r>
    </w:p>
    <w:p w14:paraId="2B4492B3">
      <w:pPr>
        <w:pStyle w:val="4"/>
        <w:keepLines w:val="0"/>
        <w:topLinePunct/>
        <w:spacing w:before="0" w:after="0" w:line="540" w:lineRule="exact"/>
        <w:ind w:firstLine="590" w:firstLineChars="210"/>
        <w:rPr>
          <w:sz w:val="28"/>
          <w:szCs w:val="28"/>
        </w:rPr>
      </w:pPr>
      <w:bookmarkStart w:id="63" w:name="_Toc237987614"/>
      <w:r>
        <w:rPr>
          <w:rFonts w:hint="eastAsia"/>
          <w:sz w:val="28"/>
          <w:szCs w:val="28"/>
        </w:rPr>
        <w:t>（二）推动畜禽种业自主创新突破</w:t>
      </w:r>
      <w:bookmarkEnd w:id="63"/>
    </w:p>
    <w:p w14:paraId="45DA43C0">
      <w:pPr>
        <w:spacing w:line="580" w:lineRule="exact"/>
        <w:ind w:firstLine="560" w:firstLineChars="200"/>
        <w:rPr>
          <w:sz w:val="28"/>
          <w:szCs w:val="28"/>
        </w:rPr>
      </w:pPr>
      <w:r>
        <w:rPr>
          <w:rFonts w:hint="eastAsia"/>
          <w:sz w:val="28"/>
          <w:szCs w:val="28"/>
        </w:rPr>
        <w:t>1．实施畜禽</w:t>
      </w:r>
      <w:r>
        <w:rPr>
          <w:rFonts w:hint="eastAsia"/>
          <w:sz w:val="28"/>
          <w:szCs w:val="28"/>
          <w:lang w:eastAsia="zh-CN"/>
        </w:rPr>
        <w:t>、</w:t>
      </w:r>
      <w:r>
        <w:rPr>
          <w:rFonts w:hint="eastAsia"/>
          <w:sz w:val="28"/>
          <w:szCs w:val="28"/>
        </w:rPr>
        <w:t>种业振兴行动。积极争取中央财政、援疆等资金支持，支持育种企业培育皮山红羊新品种，培育昆仑玉鹅肉鹅配套系家禽品种。利用传统表型选育及现代分子育种技术，加大基因检测技术应用，全力做好育种素材引进、核心群组建、生产性能测定、选种选育扩群、育种技术推广等工作，实施国家级、自治区级畜禽核心育种场建设，推动肉羊、肉鹅、肉兔等优势供种集群发展。</w:t>
      </w:r>
    </w:p>
    <w:p w14:paraId="0CFF76B7">
      <w:pPr>
        <w:spacing w:line="580" w:lineRule="exact"/>
        <w:ind w:firstLine="560" w:firstLineChars="200"/>
        <w:rPr>
          <w:sz w:val="28"/>
          <w:szCs w:val="28"/>
        </w:rPr>
      </w:pPr>
      <w:r>
        <w:rPr>
          <w:rFonts w:hint="eastAsia"/>
          <w:sz w:val="28"/>
          <w:szCs w:val="28"/>
        </w:rPr>
        <w:t>2．强化皮山县畜禽遗传资源保护。加大国家级皮山红羊、和田青驴保护区建设，建立皮山红羊、和田青驴自治区级保种场，持续开展遗传资源保护及开发利用。在皮山县建立和田青驴保种场，划定保护区，在非保护区建设公驴配种站，以和田青驴、关中驴、德州驴等品种为父本，开展杂交改良，探索肉用、奶用等优势性状品系繁育推广。皮山红羊重点对核心群多胎基因纯合子种羊应用高效繁殖技术提高群体胎均产羔数，强化羔羊保育工作，推广精准饲喂技术，提高羔羊的成活率和育成率，提升供种能力。</w:t>
      </w:r>
    </w:p>
    <w:p w14:paraId="498F3165">
      <w:pPr>
        <w:spacing w:line="580" w:lineRule="exact"/>
        <w:ind w:firstLine="560" w:firstLineChars="200"/>
        <w:rPr>
          <w:sz w:val="28"/>
          <w:szCs w:val="28"/>
        </w:rPr>
      </w:pPr>
      <w:r>
        <w:rPr>
          <w:rFonts w:hint="eastAsia"/>
          <w:sz w:val="28"/>
          <w:szCs w:val="28"/>
        </w:rPr>
        <w:t>3．加强畜禽种源基地建设。通过公开竞争程序，支持具备条件的畜禽育种企业建设现代化育种平台，引进科技创新领军人才，推动企业与科研院校共建高标准实验室、育种研发中心和良繁基地；鼓励企业与科研院校合作，利用生产性能测定、遗传评估及分子育种等技术开展育种工作，提高育种技术装备水平，推进“育繁推”一体化发展。以地方特色畜禽遗传资源为基础，支持具备条件的种业企业开展繁育推广、市场推介、产业开发等工作，打造具有地方特色的畜禽繁育基地，提升地方品种的市场影响力。</w:t>
      </w:r>
    </w:p>
    <w:p w14:paraId="1E85876A">
      <w:pPr>
        <w:spacing w:line="580" w:lineRule="exact"/>
        <w:ind w:firstLine="560" w:firstLineChars="200"/>
        <w:rPr>
          <w:sz w:val="28"/>
          <w:szCs w:val="28"/>
        </w:rPr>
      </w:pPr>
      <w:r>
        <w:rPr>
          <w:rFonts w:hint="eastAsia"/>
          <w:sz w:val="28"/>
          <w:szCs w:val="28"/>
        </w:rPr>
        <w:t>4．完善畜禽良种繁育体系。一是强化种畜禽场规范化管理。严格执行《新疆维吾尔自治区种畜禽生产经营许可证管理办法》相关规定，推进种畜禽场规范化管理，强化种畜禽场育种规划制定、育种核心群组群、生产性能测定、选种选配、疫病净化、谱系档案建立、种畜鉴定分级、信息化管理等常规育种工作。完善种畜禽场养殖档案，实行育种规划审核备案制度。二是加强种畜禽质量监管。推进种畜禽执法体系和执法队伍建设，建立种畜禽场内出证、场外监督机制，加强种畜禽出场“三证”管理，鼓励县乡畜牧技术推广机构技术人员指导种畜场开展种畜鉴定整群工作。重点对种牛场、种羊场育种核心群及出场销售种畜禽的生产性能实施动态监测。严格区外种畜禽引进监管，确保引种质量。畅通种畜禽质量举报渠道，严肃查处生产销售低劣种畜禽及种质材料的行为。三是开展种畜禽场疫病净化。加大种羊场监测力度，全面推动种畜禽场主要动物疫病净化工作，从生产源头提高畜禽生产健康安全水平。严格出场种畜禽主要动物疫病检测制度，确保出场种畜禽主要动物疫病抽检比例达到100%。重点开展种羊场育种核心群、生产群进行疫病检测，对达不到《自治区中长期动物疫病防治规划》规定的种畜禽场净化标准和强制免疫工作要求的，要坚决依法吊销种畜禽生产经营许可证。</w:t>
      </w:r>
    </w:p>
    <w:p w14:paraId="7AA41BD8">
      <w:pPr>
        <w:pStyle w:val="4"/>
        <w:keepLines w:val="0"/>
        <w:topLinePunct/>
        <w:spacing w:before="0" w:after="0" w:line="540" w:lineRule="exact"/>
        <w:ind w:firstLine="590" w:firstLineChars="210"/>
        <w:rPr>
          <w:sz w:val="28"/>
          <w:szCs w:val="28"/>
        </w:rPr>
      </w:pPr>
      <w:bookmarkStart w:id="64" w:name="_Toc237987615"/>
      <w:r>
        <w:rPr>
          <w:rFonts w:hint="eastAsia"/>
          <w:sz w:val="28"/>
          <w:szCs w:val="28"/>
        </w:rPr>
        <w:t>（三）推进产业精准帮扶到户</w:t>
      </w:r>
      <w:bookmarkEnd w:id="64"/>
    </w:p>
    <w:p w14:paraId="47E52FB9">
      <w:pPr>
        <w:spacing w:line="580" w:lineRule="exact"/>
        <w:ind w:firstLine="560" w:firstLineChars="200"/>
        <w:rPr>
          <w:sz w:val="28"/>
          <w:szCs w:val="28"/>
        </w:rPr>
      </w:pPr>
      <w:r>
        <w:rPr>
          <w:rFonts w:hint="eastAsia"/>
          <w:sz w:val="28"/>
          <w:szCs w:val="28"/>
        </w:rPr>
        <w:t>为持续巩固拓展脱贫攻坚成果，大力促进农民稳定增收，结合皮山县实际，推动畜牧产业精准帮扶到户，守住不发生规模性返贫底线。申请乡村振兴衔接资金，助推畜牧业发展和农牧民增收。</w:t>
      </w:r>
    </w:p>
    <w:p w14:paraId="223BA342">
      <w:pPr>
        <w:pStyle w:val="4"/>
        <w:keepLines w:val="0"/>
        <w:topLinePunct/>
        <w:spacing w:before="0" w:after="0" w:line="540" w:lineRule="exact"/>
        <w:ind w:firstLine="590" w:firstLineChars="210"/>
        <w:rPr>
          <w:sz w:val="28"/>
          <w:szCs w:val="28"/>
        </w:rPr>
      </w:pPr>
      <w:bookmarkStart w:id="65" w:name="_Toc237987616"/>
      <w:r>
        <w:rPr>
          <w:rFonts w:hint="eastAsia"/>
          <w:sz w:val="28"/>
          <w:szCs w:val="28"/>
        </w:rPr>
        <w:t>（四）全面提升动物疫病防控能力</w:t>
      </w:r>
      <w:bookmarkEnd w:id="65"/>
    </w:p>
    <w:p w14:paraId="2208735E">
      <w:pPr>
        <w:spacing w:line="580" w:lineRule="exact"/>
        <w:ind w:firstLine="560" w:firstLineChars="200"/>
        <w:rPr>
          <w:sz w:val="28"/>
          <w:szCs w:val="28"/>
        </w:rPr>
      </w:pPr>
      <w:r>
        <w:rPr>
          <w:rFonts w:hint="eastAsia"/>
          <w:sz w:val="28"/>
          <w:szCs w:val="28"/>
        </w:rPr>
        <w:t>1．健全防控体系。县农业综合执法机构加大畜禽养殖、屠宰、流通、无害化处理、隔离及动物诊疗、兽药经营销售等环节的动物卫生监督执法，营造依法治疫氛围；积极争取编办成立县动物卫生监督机构，理顺“县市委托、乡镇检疫、村级协检”的工作机制，全面履行动物及动物产品检疫职责。</w:t>
      </w:r>
    </w:p>
    <w:p w14:paraId="37BEEFA9">
      <w:pPr>
        <w:spacing w:line="580" w:lineRule="exact"/>
        <w:ind w:firstLine="560" w:firstLineChars="200"/>
        <w:rPr>
          <w:sz w:val="28"/>
          <w:szCs w:val="28"/>
        </w:rPr>
      </w:pPr>
      <w:r>
        <w:rPr>
          <w:rFonts w:hint="eastAsia"/>
          <w:sz w:val="28"/>
          <w:szCs w:val="28"/>
        </w:rPr>
        <w:t>2．严格落实动物调运监管制度。严格按照调入地“准入”、调出地“准出”、调运中“严查”、调入后“严管”闭环式监管机制，落实调运前的审批备案管理制度，严禁从疫区调入风险动物。依托皮山县公路动物卫生监督检查站，落实跨省区运输动物的车辆查证验物及消杀、信息联动职责，对跨省区调入的动物落实不少于14天的隔离监管，隔离期间落实强制免疫、检疫净化、无害化处理、隔离场消杀等措施，严防疫情发生和扩散。</w:t>
      </w:r>
    </w:p>
    <w:p w14:paraId="3EDFA083">
      <w:pPr>
        <w:spacing w:line="580" w:lineRule="exact"/>
        <w:ind w:firstLine="560" w:firstLineChars="200"/>
        <w:rPr>
          <w:sz w:val="28"/>
          <w:szCs w:val="28"/>
        </w:rPr>
      </w:pPr>
      <w:r>
        <w:rPr>
          <w:rFonts w:hint="eastAsia"/>
          <w:sz w:val="28"/>
          <w:szCs w:val="28"/>
        </w:rPr>
        <w:t>3．强化重大动物疫病强制免疫和人畜共患病防控措施落实。坚持“预防为主、预防与控制、净化、消灭”相结合的工作方针，组织实施重大动物疫病强制免疫计划，确保群体免疫密度常年保持在90%以上，免疫抗体合格率保持在70%以上。配齐县、乡、村三级疫苗物资储运体系，加快县兽医化验室达标提升改造，推进皮山县边境动物疫情测报站建设，强化外来动物疫病风险防范；配备移动式监测车辆，构建快速监测体系，实现动物疫情现场快速检测处置，确保兽医化验室监测预警评估职能正常发挥和突发重大动物疫情及时处置。</w:t>
      </w:r>
    </w:p>
    <w:p w14:paraId="789518FB">
      <w:pPr>
        <w:pStyle w:val="4"/>
        <w:keepLines w:val="0"/>
        <w:topLinePunct/>
        <w:spacing w:before="0" w:after="0" w:line="540" w:lineRule="exact"/>
        <w:ind w:firstLine="590" w:firstLineChars="210"/>
        <w:rPr>
          <w:sz w:val="28"/>
          <w:szCs w:val="28"/>
        </w:rPr>
      </w:pPr>
      <w:bookmarkStart w:id="66" w:name="_Toc237987617"/>
      <w:r>
        <w:rPr>
          <w:rFonts w:hint="eastAsia"/>
          <w:sz w:val="28"/>
          <w:szCs w:val="28"/>
        </w:rPr>
        <w:t>（五）推进畜禽品种改良和畜牧技术推广</w:t>
      </w:r>
      <w:bookmarkEnd w:id="66"/>
    </w:p>
    <w:p w14:paraId="26FA04B7">
      <w:pPr>
        <w:spacing w:line="580" w:lineRule="exact"/>
        <w:ind w:firstLine="560" w:firstLineChars="200"/>
        <w:rPr>
          <w:sz w:val="28"/>
          <w:szCs w:val="28"/>
        </w:rPr>
      </w:pPr>
      <w:r>
        <w:rPr>
          <w:rFonts w:hint="eastAsia"/>
          <w:sz w:val="28"/>
          <w:szCs w:val="28"/>
        </w:rPr>
        <w:t>1．推进畜禽品种改良工作。到2030年，实现皮山红羊等优质肉羊品种覆盖率90%，皮山红羊核心群增加至5万只，母羊繁殖率明显提升，产肉率从43%提高至55%。</w:t>
      </w:r>
    </w:p>
    <w:p w14:paraId="2CB3E4B5">
      <w:pPr>
        <w:spacing w:line="580" w:lineRule="exact"/>
        <w:ind w:firstLine="560" w:firstLineChars="200"/>
        <w:rPr>
          <w:sz w:val="28"/>
          <w:szCs w:val="28"/>
        </w:rPr>
      </w:pPr>
      <w:r>
        <w:rPr>
          <w:rFonts w:hint="eastAsia"/>
          <w:sz w:val="28"/>
          <w:szCs w:val="28"/>
        </w:rPr>
        <w:t>2．全面加强畜牧技术推广工作。一是推广应用肉羊杂交改良人工授精技术。到2030年，实现肉羊人工授精技术普及率80%以上，皮山红羊等优质杂交羊占比达70%。母羊繁殖率从130%提升至200%，羔羊成活率从85%提高至95%，出栏周期缩短至6个月，胴体重增加15%以上。二是加强服务网络与设施建设。建成1个自治区级种公羊站，形成“县—乡—村”三级技术服务网络。实现90%的配种站具备精液检测和远程诊疗能力。三是推广应用牛品种改良人工授精技术。</w:t>
      </w:r>
    </w:p>
    <w:p w14:paraId="1731DC02">
      <w:pPr>
        <w:spacing w:line="580" w:lineRule="exact"/>
        <w:ind w:firstLine="560" w:firstLineChars="200"/>
        <w:rPr>
          <w:sz w:val="28"/>
          <w:szCs w:val="28"/>
        </w:rPr>
      </w:pPr>
      <w:r>
        <w:rPr>
          <w:rFonts w:hint="eastAsia"/>
          <w:sz w:val="28"/>
          <w:szCs w:val="28"/>
        </w:rPr>
        <w:t>3．做好畜禽良种繁育体系规划。一是加强畜禽种质资源保护与利用。坚持特色畜禽遗传资源保护开发利用的发展思路，推进政府保种和商业化开发利用相结合，加强与高等院校、科研院所及技术体系的合作，充分利用各类科技资源，为畜牧业发展提供技术支撑，建立健全保种场、扩繁场、商品场三级繁育体系，夯实特色畜禽种业基础。加强皮山红羊、和田青驴国家级保护区，稳定特色畜禽核心群育种规模，开展地理标志认证，挖掘特色畜禽优良品质特性，完善保护体系建设。加快建设畜禽种质资源库，开展畜禽遗传资源保护，明确责任主体，推动地方品种资源应保尽保、有序开发。二是强化育种科技创新。加强产学研深度融合，鼓励企业与高校、科研院所联合组建创新联合体，开展联合攻关。加大对畜禽种业关键核心技术研发的支持，重点突破基因编辑、全基因组选择、胚胎工程等前沿育种技术。建立良种联合攻关机制，围绕肉牛、肉羊、家禽等主要畜种，开展良种培育行动，加速培育突破性新品种（系）。三是培育壮大企业。建立公开、透明的畜禽种业企业遴选机制，对依法取得种畜禽生产经营许可证、具备相应育种设施设备和专业技术人员、通过公开竞争程序入选的种业企业，按照相关规定给予支持，推动其成为技术创新主体。通过规范的资金补助和技术服务，引导企业建设现代化育种基地，提升商业化育种能力。四是加强人才培养与团队建设。实施高层次人才引进计划，吸引高端专家参与畜禽种业研究。同时，加强本土人才培养，通过产学研合作培养复合型专业人才，形成稳定的创新团队。五是优化市场推广与服务体系。建立健全良种推广网络，通过示范场、合作社等多种形式加快新品种普及。完善售后服务体系，为养殖户提供全程技术支持，确保新品种落地见效。</w:t>
      </w:r>
    </w:p>
    <w:p w14:paraId="20C300AA">
      <w:pPr>
        <w:pStyle w:val="3"/>
        <w:widowControl/>
        <w:spacing w:before="0" w:after="0" w:line="600" w:lineRule="exact"/>
        <w:ind w:firstLine="562" w:firstLineChars="200"/>
        <w:rPr>
          <w:rFonts w:ascii="Arial" w:hAnsi="Arial" w:eastAsia="黑体"/>
          <w:bCs w:val="0"/>
          <w:kern w:val="0"/>
          <w:sz w:val="28"/>
          <w:szCs w:val="20"/>
        </w:rPr>
      </w:pPr>
      <w:bookmarkStart w:id="67" w:name="_Toc237987618"/>
      <w:r>
        <w:rPr>
          <w:rFonts w:hint="eastAsia" w:ascii="Arial" w:hAnsi="Arial" w:eastAsia="黑体"/>
          <w:bCs w:val="0"/>
          <w:kern w:val="0"/>
          <w:sz w:val="28"/>
          <w:szCs w:val="20"/>
        </w:rPr>
        <w:t>三、大力推进绿色果蔬产业集群发展</w:t>
      </w:r>
      <w:bookmarkEnd w:id="67"/>
    </w:p>
    <w:p w14:paraId="4B3E6DD4">
      <w:pPr>
        <w:pStyle w:val="4"/>
        <w:keepLines w:val="0"/>
        <w:topLinePunct/>
        <w:spacing w:before="0" w:after="0" w:line="540" w:lineRule="exact"/>
        <w:ind w:firstLine="590" w:firstLineChars="210"/>
        <w:rPr>
          <w:sz w:val="28"/>
          <w:szCs w:val="28"/>
        </w:rPr>
      </w:pPr>
      <w:bookmarkStart w:id="68" w:name="_Toc237987619"/>
      <w:bookmarkStart w:id="69" w:name="OLE_LINK39"/>
      <w:bookmarkStart w:id="70" w:name="OLE_LINK40"/>
      <w:r>
        <w:rPr>
          <w:rFonts w:hint="eastAsia"/>
          <w:sz w:val="28"/>
          <w:szCs w:val="28"/>
        </w:rPr>
        <w:t>（一）大力发展戈壁设施农业</w:t>
      </w:r>
      <w:bookmarkEnd w:id="68"/>
    </w:p>
    <w:p w14:paraId="72828A36">
      <w:pPr>
        <w:spacing w:line="580" w:lineRule="exact"/>
        <w:ind w:firstLine="560" w:firstLineChars="200"/>
        <w:rPr>
          <w:sz w:val="28"/>
          <w:szCs w:val="28"/>
        </w:rPr>
      </w:pPr>
      <w:r>
        <w:rPr>
          <w:rFonts w:hint="eastAsia"/>
          <w:sz w:val="28"/>
          <w:szCs w:val="28"/>
        </w:rPr>
        <w:t>1</w:t>
      </w:r>
      <w:r>
        <w:rPr>
          <w:sz w:val="28"/>
          <w:szCs w:val="28"/>
        </w:rPr>
        <w:t xml:space="preserve">. </w:t>
      </w:r>
      <w:r>
        <w:rPr>
          <w:rFonts w:hint="eastAsia"/>
          <w:sz w:val="28"/>
          <w:szCs w:val="28"/>
        </w:rPr>
        <w:t>稳步扩大设施蔬菜面积。建设连片设施蔬菜种植基地，通过引导扶持良种繁育和集约化育苗能力得到提升，蔬菜产后加工水平大幅提高；完善配套设施，建设蔬菜冷链物流中心，保障蔬菜的新鲜度和品质；建立蔬菜产销对接机制，与城市大型超市、农贸市场等建立长期合作关系，确保蔬菜销售渠道畅通。</w:t>
      </w:r>
    </w:p>
    <w:p w14:paraId="2852A4C9">
      <w:pPr>
        <w:spacing w:line="580" w:lineRule="exact"/>
        <w:ind w:firstLine="560" w:firstLineChars="200"/>
        <w:rPr>
          <w:sz w:val="28"/>
          <w:szCs w:val="28"/>
        </w:rPr>
      </w:pPr>
      <w:r>
        <w:rPr>
          <w:rFonts w:hint="eastAsia"/>
          <w:sz w:val="28"/>
          <w:szCs w:val="28"/>
        </w:rPr>
        <w:t>2．推进基地建设。集中力量建设一批标准化程度高、设施配套齐全、机械化智能化设施农业生产基地。同时，对老旧温室进行提升改造，开展废弃老旧土墙温室拆除、倒塌砖墙钢架温室修葺等系列设施提质增效工程，全面推进大棚升级。</w:t>
      </w:r>
    </w:p>
    <w:p w14:paraId="3F8B4938">
      <w:pPr>
        <w:spacing w:line="580" w:lineRule="exact"/>
        <w:ind w:firstLine="560" w:firstLineChars="200"/>
        <w:rPr>
          <w:sz w:val="28"/>
          <w:szCs w:val="28"/>
        </w:rPr>
      </w:pPr>
      <w:r>
        <w:rPr>
          <w:rFonts w:hint="eastAsia"/>
          <w:sz w:val="28"/>
          <w:szCs w:val="28"/>
        </w:rPr>
        <w:t>3．强化科技支撑。加强与科研院校的合作，引进和推广先进的设施农业技术，如智能水肥管控、无土栽培、环境智能化调控等技术，与具备相应科研实力的农业科研院所、高等院校合作，通过公平竞争程序确定合作单位，建立“产学研用推”一体化的科技创新支撑体系。</w:t>
      </w:r>
    </w:p>
    <w:p w14:paraId="371B4082">
      <w:pPr>
        <w:spacing w:line="580" w:lineRule="exact"/>
        <w:ind w:firstLine="560" w:firstLineChars="200"/>
        <w:rPr>
          <w:sz w:val="28"/>
          <w:szCs w:val="28"/>
        </w:rPr>
      </w:pPr>
      <w:r>
        <w:rPr>
          <w:rFonts w:hint="eastAsia"/>
          <w:sz w:val="28"/>
          <w:szCs w:val="28"/>
        </w:rPr>
        <w:t>4．完善产业链条。加强农产品产后流通工程建设，建设产地冷链集配中心，构建物流信息自动化网络系统；发展农产品精深加工，开发多种精深加工产品，提高农产品附加值；加强市场营销体系建设，构建品牌体系，拓展国内外市场。</w:t>
      </w:r>
    </w:p>
    <w:p w14:paraId="51FC31A6">
      <w:pPr>
        <w:spacing w:line="580" w:lineRule="exact"/>
        <w:ind w:firstLine="560" w:firstLineChars="200"/>
        <w:rPr>
          <w:sz w:val="28"/>
          <w:szCs w:val="28"/>
        </w:rPr>
      </w:pPr>
      <w:r>
        <w:rPr>
          <w:rFonts w:hint="eastAsia"/>
          <w:sz w:val="28"/>
          <w:szCs w:val="28"/>
        </w:rPr>
        <w:t>5．培育经营主体。实施新型农业经营主体培育工程，推广“企业+合作社+农户”模式，鼓励农户以土地入股参与经营。</w:t>
      </w:r>
    </w:p>
    <w:p w14:paraId="7F273BCF">
      <w:pPr>
        <w:pStyle w:val="4"/>
        <w:keepLines w:val="0"/>
        <w:topLinePunct/>
        <w:spacing w:before="0" w:after="0" w:line="540" w:lineRule="exact"/>
        <w:ind w:firstLine="590" w:firstLineChars="210"/>
        <w:rPr>
          <w:sz w:val="28"/>
          <w:szCs w:val="28"/>
        </w:rPr>
      </w:pPr>
      <w:bookmarkStart w:id="71" w:name="_Toc237987620"/>
      <w:r>
        <w:rPr>
          <w:rFonts w:hint="eastAsia"/>
          <w:sz w:val="28"/>
          <w:szCs w:val="28"/>
        </w:rPr>
        <w:t>（二）重点扶持发展中药材特色种植产业</w:t>
      </w:r>
      <w:bookmarkEnd w:id="71"/>
    </w:p>
    <w:p w14:paraId="51B78CC9">
      <w:pPr>
        <w:spacing w:line="580" w:lineRule="exact"/>
        <w:ind w:firstLine="560" w:firstLineChars="200"/>
        <w:rPr>
          <w:sz w:val="28"/>
          <w:szCs w:val="28"/>
        </w:rPr>
      </w:pPr>
      <w:r>
        <w:rPr>
          <w:rFonts w:hint="eastAsia"/>
          <w:sz w:val="28"/>
          <w:szCs w:val="28"/>
        </w:rPr>
        <w:t>立足皮山县资源禀赋、区位优势和发展基础，聚焦推动特色中药材、特色经济作物等提质增效，按照“区域化布局、规模化生产、产业化经营”的发展思路，围绕“优品种、提品质、创产品、打品牌、强服务”的发展思路，大力发展以加工瓜蒌、葛根等为重点的经济作物种植，建立健全农产品质量安全检测体系，实现农产品质量安全农药残留、兽药残留、添加剂检测全覆盖，确保不发生重大农产品质量安全事件。</w:t>
      </w:r>
    </w:p>
    <w:p w14:paraId="1C0F604A">
      <w:pPr>
        <w:spacing w:line="580" w:lineRule="exact"/>
        <w:ind w:firstLine="560" w:firstLineChars="200"/>
        <w:rPr>
          <w:sz w:val="28"/>
          <w:szCs w:val="28"/>
        </w:rPr>
      </w:pPr>
      <w:r>
        <w:rPr>
          <w:rFonts w:hint="eastAsia"/>
          <w:sz w:val="28"/>
          <w:szCs w:val="28"/>
        </w:rPr>
        <w:t>瓜蒌产业提升：在原有种植基础上，引进先进种植技术，优化种植管理流程，提高瓜蒌品质与产量。推广有机种植模式，减少化肥农药使用，打造绿色有机品牌；同时，拓展建设瓜蒌现代化加工厂，生产瓜蒌籽、瓜蒌皮、瓜蒌根、瓜瓤等深加工产品，提升瓜蒌产业附加值。</w:t>
      </w:r>
    </w:p>
    <w:p w14:paraId="5D80F4A1">
      <w:pPr>
        <w:spacing w:line="580" w:lineRule="exact"/>
        <w:ind w:firstLine="560" w:firstLineChars="200"/>
        <w:rPr>
          <w:sz w:val="28"/>
          <w:szCs w:val="28"/>
        </w:rPr>
      </w:pPr>
      <w:bookmarkStart w:id="72" w:name="OLE_LINK44"/>
      <w:bookmarkStart w:id="73" w:name="OLE_LINK43"/>
      <w:r>
        <w:rPr>
          <w:rFonts w:hint="eastAsia"/>
          <w:sz w:val="28"/>
          <w:szCs w:val="28"/>
        </w:rPr>
        <w:t>葛根</w:t>
      </w:r>
      <w:bookmarkEnd w:id="72"/>
      <w:bookmarkEnd w:id="73"/>
      <w:r>
        <w:rPr>
          <w:rFonts w:hint="eastAsia"/>
          <w:sz w:val="28"/>
          <w:szCs w:val="28"/>
        </w:rPr>
        <w:t>产业发展：建设高标准葛根种植基地，采用标准化、机械化和生态融合型管理模式，优化“高产值+低耗水+强固沙”模式，</w:t>
      </w:r>
      <w:r>
        <w:rPr>
          <w:sz w:val="28"/>
          <w:szCs w:val="28"/>
        </w:rPr>
        <w:t>防风固沙与产业开发协同推进</w:t>
      </w:r>
      <w:r>
        <w:rPr>
          <w:rFonts w:hint="eastAsia"/>
          <w:sz w:val="28"/>
          <w:szCs w:val="28"/>
        </w:rPr>
        <w:t>。配套建成国家级葛根精深加工产业园，涵盖高纯度葛根素、功能食品和化妆品原料生产线，提升葛根产业附加值，建设具有较强竞争力的葛根精深加工基地。</w:t>
      </w:r>
    </w:p>
    <w:p w14:paraId="774E8AED">
      <w:pPr>
        <w:pStyle w:val="4"/>
        <w:keepLines w:val="0"/>
        <w:topLinePunct/>
        <w:spacing w:before="0" w:after="0" w:line="540" w:lineRule="exact"/>
        <w:ind w:firstLine="590" w:firstLineChars="210"/>
        <w:rPr>
          <w:sz w:val="28"/>
          <w:szCs w:val="28"/>
        </w:rPr>
      </w:pPr>
      <w:bookmarkStart w:id="74" w:name="_Toc237987621"/>
      <w:r>
        <w:rPr>
          <w:rFonts w:hint="eastAsia"/>
          <w:sz w:val="28"/>
          <w:szCs w:val="28"/>
        </w:rPr>
        <w:t>（三）促进数字技术与现代农业全面融合</w:t>
      </w:r>
      <w:bookmarkEnd w:id="74"/>
    </w:p>
    <w:p w14:paraId="45ACB466">
      <w:pPr>
        <w:spacing w:line="580" w:lineRule="exact"/>
        <w:ind w:firstLine="560" w:firstLineChars="200"/>
        <w:rPr>
          <w:sz w:val="28"/>
          <w:szCs w:val="28"/>
        </w:rPr>
      </w:pPr>
      <w:r>
        <w:rPr>
          <w:rFonts w:hint="eastAsia"/>
          <w:sz w:val="28"/>
          <w:szCs w:val="28"/>
        </w:rPr>
        <w:t>依托地区一体化数据服务平台开展资源摸底、数据资源挂接、数据回流等工作，实现地、县级数据共享共用，涉农数据一体化管理。深化应用场景，积极探索基于数据资源的业务需求，拓展数据资源在智慧农业领域的深度应用。健全涉农数据开发利用机制。充分发挥政务数据共享协调机制作用，健全涉农数据资源共享应用工作机制，推进涉农数据一体化服务体系建设。常态化更新数据资源。实施一批智慧农业建设工程。积极引导新型涉农生产经营主体加大投入，在生产、加工、仓储、物流环节建设智慧化系统，智慧农业水平大幅提升。</w:t>
      </w:r>
    </w:p>
    <w:p w14:paraId="31D2170F">
      <w:pPr>
        <w:pStyle w:val="3"/>
        <w:widowControl/>
        <w:spacing w:before="0" w:after="0" w:line="600" w:lineRule="exact"/>
        <w:ind w:firstLine="562" w:firstLineChars="200"/>
        <w:rPr>
          <w:rFonts w:ascii="Arial" w:hAnsi="Arial" w:eastAsia="黑体"/>
          <w:bCs w:val="0"/>
          <w:kern w:val="0"/>
          <w:sz w:val="28"/>
          <w:szCs w:val="20"/>
        </w:rPr>
      </w:pPr>
      <w:bookmarkStart w:id="75" w:name="_Toc237987622"/>
      <w:r>
        <w:rPr>
          <w:rFonts w:hint="eastAsia" w:ascii="Arial" w:hAnsi="Arial" w:eastAsia="黑体"/>
          <w:bCs w:val="0"/>
          <w:kern w:val="0"/>
          <w:sz w:val="28"/>
          <w:szCs w:val="20"/>
        </w:rPr>
        <w:t>四、加大农产品规模化经营加工能力建设</w:t>
      </w:r>
      <w:bookmarkEnd w:id="75"/>
      <w:r>
        <w:rPr>
          <w:rFonts w:hint="eastAsia" w:ascii="Arial" w:hAnsi="Arial" w:eastAsia="黑体"/>
          <w:bCs w:val="0"/>
          <w:kern w:val="0"/>
          <w:sz w:val="28"/>
          <w:szCs w:val="20"/>
        </w:rPr>
        <w:t xml:space="preserve"> </w:t>
      </w:r>
    </w:p>
    <w:p w14:paraId="49B7C815">
      <w:pPr>
        <w:pStyle w:val="4"/>
        <w:keepLines w:val="0"/>
        <w:topLinePunct/>
        <w:spacing w:before="0" w:after="0" w:line="540" w:lineRule="exact"/>
        <w:ind w:firstLine="590" w:firstLineChars="210"/>
        <w:rPr>
          <w:sz w:val="28"/>
          <w:szCs w:val="28"/>
        </w:rPr>
      </w:pPr>
      <w:bookmarkStart w:id="76" w:name="_Toc237987623"/>
      <w:r>
        <w:rPr>
          <w:rFonts w:hint="eastAsia"/>
          <w:sz w:val="28"/>
          <w:szCs w:val="28"/>
        </w:rPr>
        <w:t>（一）加强园区基础设施建设</w:t>
      </w:r>
      <w:bookmarkEnd w:id="76"/>
    </w:p>
    <w:p w14:paraId="74739BDD">
      <w:pPr>
        <w:spacing w:line="580" w:lineRule="exact"/>
        <w:ind w:firstLine="560" w:firstLineChars="200"/>
        <w:rPr>
          <w:sz w:val="28"/>
          <w:szCs w:val="28"/>
        </w:rPr>
      </w:pPr>
      <w:r>
        <w:rPr>
          <w:rFonts w:hint="eastAsia"/>
          <w:sz w:val="28"/>
          <w:szCs w:val="28"/>
        </w:rPr>
        <w:t>1．提升园区品位。力争将皮山县农业园区创建成自治区级现代农业园区。不断创新和完善园区配套体制机制，提升园区知名度和吸引力，吸纳企业入驻。</w:t>
      </w:r>
    </w:p>
    <w:p w14:paraId="183DACE1">
      <w:pPr>
        <w:spacing w:line="580" w:lineRule="exact"/>
        <w:ind w:firstLine="560" w:firstLineChars="200"/>
        <w:rPr>
          <w:sz w:val="28"/>
          <w:szCs w:val="28"/>
        </w:rPr>
      </w:pPr>
      <w:r>
        <w:rPr>
          <w:rFonts w:hint="eastAsia"/>
          <w:sz w:val="28"/>
          <w:szCs w:val="28"/>
        </w:rPr>
        <w:t>2．加强农业园区基础设施建设。完善产业园总体规划设计和修建性详细规划，积极争取各类资金，加强农业园区道路、供排水、供电、供热、智慧管理系统等基础设施建设，进一步完善现代农业产业园配套设施，为招引企业入驻提供支撑。</w:t>
      </w:r>
    </w:p>
    <w:p w14:paraId="523DC7C4">
      <w:pPr>
        <w:spacing w:line="580" w:lineRule="exact"/>
        <w:ind w:firstLine="560" w:firstLineChars="200"/>
        <w:rPr>
          <w:sz w:val="28"/>
          <w:szCs w:val="28"/>
        </w:rPr>
      </w:pPr>
      <w:r>
        <w:rPr>
          <w:rFonts w:hint="eastAsia"/>
          <w:sz w:val="28"/>
          <w:szCs w:val="28"/>
        </w:rPr>
        <w:t>3．加强农业园区仓储加工设施建设。进一步完善园区仓储、农产品加工等上下游配套、全产业链建设，不断提升园区承载能力。</w:t>
      </w:r>
    </w:p>
    <w:p w14:paraId="4F3D6FF5">
      <w:pPr>
        <w:pStyle w:val="4"/>
        <w:keepLines w:val="0"/>
        <w:topLinePunct/>
        <w:spacing w:before="0" w:after="0" w:line="540" w:lineRule="exact"/>
        <w:ind w:firstLine="590" w:firstLineChars="210"/>
        <w:rPr>
          <w:sz w:val="28"/>
          <w:szCs w:val="28"/>
        </w:rPr>
      </w:pPr>
      <w:bookmarkStart w:id="77" w:name="_Toc237987624"/>
      <w:r>
        <w:rPr>
          <w:rFonts w:hint="eastAsia"/>
          <w:sz w:val="28"/>
          <w:szCs w:val="28"/>
        </w:rPr>
        <w:t>（二）</w:t>
      </w:r>
      <w:bookmarkEnd w:id="77"/>
      <w:r>
        <w:rPr>
          <w:rFonts w:hint="eastAsia"/>
          <w:sz w:val="28"/>
          <w:szCs w:val="28"/>
        </w:rPr>
        <w:t>培育各类农业产业化经营主体</w:t>
      </w:r>
    </w:p>
    <w:p w14:paraId="27E80FCD">
      <w:pPr>
        <w:spacing w:line="580" w:lineRule="exact"/>
        <w:ind w:firstLine="560" w:firstLineChars="200"/>
        <w:rPr>
          <w:sz w:val="28"/>
          <w:szCs w:val="28"/>
        </w:rPr>
      </w:pPr>
      <w:r>
        <w:rPr>
          <w:rFonts w:hint="eastAsia"/>
          <w:sz w:val="28"/>
          <w:szCs w:val="28"/>
        </w:rPr>
        <w:t>1．积极培育各类农业产业化经营主体。按照“产业进园区、园区产业化、产业集群化”的发展思路，落实好国家、自治区、地区相关政策，按照公开、公平、公正的原则，对依法登记注册、符合规定条件的各类农业经营主体（含企业、合作社、家庭农场等），在申报补助资金、贷款贴息、农产品加工基金、相关产业项目等方面给予同等指导和服务，扶持经营主体做大做强，发挥联农带农效应。</w:t>
      </w:r>
    </w:p>
    <w:p w14:paraId="0A1097ED">
      <w:pPr>
        <w:spacing w:line="580" w:lineRule="exact"/>
        <w:ind w:firstLine="560" w:firstLineChars="200"/>
        <w:rPr>
          <w:sz w:val="28"/>
          <w:szCs w:val="28"/>
        </w:rPr>
      </w:pPr>
      <w:r>
        <w:rPr>
          <w:rFonts w:hint="eastAsia"/>
          <w:sz w:val="28"/>
          <w:szCs w:val="28"/>
        </w:rPr>
        <w:t>2．加大金融</w:t>
      </w:r>
      <w:r>
        <w:rPr>
          <w:rFonts w:hint="eastAsia"/>
          <w:sz w:val="28"/>
          <w:szCs w:val="28"/>
          <w:lang w:eastAsia="zh-CN"/>
        </w:rPr>
        <w:t>、</w:t>
      </w:r>
      <w:r>
        <w:rPr>
          <w:rFonts w:hint="eastAsia"/>
          <w:sz w:val="28"/>
          <w:szCs w:val="28"/>
        </w:rPr>
        <w:t>融资支持力度，落实好国家、自治区、地区帮扶政策，在政策许可范围内，按照公开、公平原则，对符合规定条件的各类农业经营主体开展相关扶持资金争取和政策性金融支持提供服务。</w:t>
      </w:r>
    </w:p>
    <w:p w14:paraId="71FF8466">
      <w:pPr>
        <w:spacing w:line="580" w:lineRule="exact"/>
        <w:ind w:firstLine="560" w:firstLineChars="200"/>
        <w:rPr>
          <w:sz w:val="28"/>
          <w:szCs w:val="28"/>
        </w:rPr>
      </w:pPr>
      <w:r>
        <w:rPr>
          <w:rFonts w:hint="eastAsia"/>
          <w:sz w:val="28"/>
          <w:szCs w:val="28"/>
        </w:rPr>
        <w:t>3．强化深加工项目储备。根据国家、自治区农产品加工提升相关要求，开展农产品深加工项目申报与储备工作。“十五五”期间积极推进农产品深加工项目建设，不断提升延链补链能力。</w:t>
      </w:r>
    </w:p>
    <w:p w14:paraId="32E75C20">
      <w:pPr>
        <w:spacing w:line="580" w:lineRule="exact"/>
        <w:ind w:firstLine="560" w:firstLineChars="200"/>
        <w:rPr>
          <w:sz w:val="28"/>
          <w:szCs w:val="28"/>
        </w:rPr>
      </w:pPr>
      <w:r>
        <w:rPr>
          <w:rFonts w:hint="eastAsia"/>
          <w:sz w:val="28"/>
          <w:szCs w:val="28"/>
        </w:rPr>
        <w:t>4．建立健全产业链延伸和服务提升，着力培育优质企业，打造特色品牌。持续推进延链补链强链建设，积极开展强农惠农政策宣传，引导企业积极对接市场，定位企业品牌，组织企业积极参加国家、自治区、各地州举办相关展会，不断提升涉农企业的市场竞争力。</w:t>
      </w:r>
    </w:p>
    <w:p w14:paraId="7A3349FA">
      <w:pPr>
        <w:pStyle w:val="4"/>
        <w:keepLines w:val="0"/>
        <w:topLinePunct/>
        <w:spacing w:before="0" w:after="0" w:line="540" w:lineRule="exact"/>
        <w:ind w:firstLine="590" w:firstLineChars="210"/>
        <w:rPr>
          <w:sz w:val="28"/>
          <w:szCs w:val="28"/>
        </w:rPr>
      </w:pPr>
      <w:bookmarkStart w:id="78" w:name="_Toc237987625"/>
      <w:r>
        <w:rPr>
          <w:rFonts w:hint="eastAsia"/>
          <w:sz w:val="28"/>
          <w:szCs w:val="28"/>
        </w:rPr>
        <w:t>（三）加大产业集群和品牌创建</w:t>
      </w:r>
      <w:bookmarkEnd w:id="78"/>
    </w:p>
    <w:p w14:paraId="46E1142E">
      <w:pPr>
        <w:spacing w:line="580" w:lineRule="exact"/>
        <w:ind w:firstLine="560" w:firstLineChars="200"/>
        <w:rPr>
          <w:sz w:val="28"/>
          <w:szCs w:val="28"/>
        </w:rPr>
      </w:pPr>
      <w:r>
        <w:rPr>
          <w:rFonts w:hint="eastAsia"/>
          <w:sz w:val="28"/>
          <w:szCs w:val="28"/>
        </w:rPr>
        <w:t>1．强化品牌培育。打造具有南疆特色的优质农产品品牌，支持具备相应资质的各类企业品牌共同参与区域公用品牌建设，支持农业产业化集群、农民合作社、家庭农场等新型农业经营主体深入实施农业品牌认证行动，进一步扩大绿色、有机、地理标志、全国名特优新农产品数量，增强企业品牌形象。</w:t>
      </w:r>
    </w:p>
    <w:p w14:paraId="333F34C1">
      <w:pPr>
        <w:spacing w:line="580" w:lineRule="exact"/>
        <w:ind w:firstLine="560" w:firstLineChars="200"/>
        <w:rPr>
          <w:sz w:val="28"/>
          <w:szCs w:val="28"/>
        </w:rPr>
      </w:pPr>
      <w:r>
        <w:rPr>
          <w:rFonts w:hint="eastAsia"/>
          <w:sz w:val="28"/>
          <w:szCs w:val="28"/>
        </w:rPr>
        <w:t>2．积极组织开展品牌申报注册。围绕皮山县优质畜牧、设施果蔬、林果、中草药等特色产业，做好“土特产”文章，支持新型农业经营主体实施农业品牌认证行动，增加绿色、全国名特优新农产品数量。</w:t>
      </w:r>
    </w:p>
    <w:p w14:paraId="4284D4F0">
      <w:pPr>
        <w:spacing w:line="580" w:lineRule="exact"/>
        <w:ind w:firstLine="560" w:firstLineChars="200"/>
        <w:rPr>
          <w:sz w:val="28"/>
          <w:szCs w:val="28"/>
        </w:rPr>
      </w:pPr>
      <w:r>
        <w:rPr>
          <w:rFonts w:hint="eastAsia"/>
          <w:sz w:val="28"/>
          <w:szCs w:val="28"/>
        </w:rPr>
        <w:t>3．扎实推进产销对接。积极组织，高质量协办和参与新疆农产品北京交易会、中国新疆特色林果产品博览会、新疆名特优农产品上海交易会等各类农产品产销对接会、推介会等，将皮山县羊肉、驴肉、兔肉等系列畜禽产品，皮山明星杏、皮西那樱桃、科克铁热克镇葡萄等鲜果产品推广出去，提升产品知名度。</w:t>
      </w:r>
    </w:p>
    <w:p w14:paraId="7EBFAD72">
      <w:pPr>
        <w:spacing w:line="580" w:lineRule="exact"/>
        <w:ind w:firstLine="560" w:firstLineChars="200"/>
        <w:rPr>
          <w:sz w:val="28"/>
          <w:szCs w:val="28"/>
        </w:rPr>
      </w:pPr>
      <w:r>
        <w:rPr>
          <w:rFonts w:hint="eastAsia"/>
          <w:sz w:val="28"/>
          <w:szCs w:val="28"/>
        </w:rPr>
        <w:t>4．确保农产品质量安全。一是抓好队伍专业化建设。争取援疆渠道和援疆资金，每年组织监管人员和检验检测人员赴援疆省市、乌鲁木齐市、石河子等进行跟班培训学习，邀请专家学者进行授课，内容涵盖农产品质量安全法律法规、检测新技术、新方法和新标准等方面。通过培训，打造一支检验检测、监管业务精湛、执法公正的农产品质量安全监管队伍。二是抓好农产品质量安全检验检测人才培养。依托援疆省市科研院校和专业培训机构，开展县、乡二级农产品质量安全检验检测人员技术和业务培训。检测工作形成统一的技术标准和操作规范，避免因区域差异导致的检测结果偏差，提升检测数据的可比性和公信力。基层检测机构的检测能力得到实质性提升，能够承担更多类型的检测任务，缩短检测周期，为农产品质量安全监管提供及时、可靠的技术支撑。此外，检测人员在工作中能更敏锐地发现潜在风险，提前预警并采取防控措施，将质量安全隐患消除在萌芽状态。三是抓好县级农检机构检测能力提升。县级农检机构建设标准化实验室，对实验室设备进行更新，配备先进的检测仪器，如气质联用仪、液质联用仪、电感耦合等离子体质谱仪等，连接国家农产品质量安全追溯平台，发布检测任务和采集检测数据，实现检测数据的自动化采集、分析和传输。到 “十五五” 期末，建立健全农产品质量安全检测体系，实现农产品质量安全农药残留、兽药残留、添加剂检测全覆盖，确保不发生重大农产品质量安全事件。四是抓好乡镇农产品质量安全监管站建设。推动</w:t>
      </w:r>
      <w:r>
        <w:rPr>
          <w:sz w:val="28"/>
          <w:szCs w:val="28"/>
        </w:rPr>
        <w:t>16</w:t>
      </w:r>
      <w:r>
        <w:rPr>
          <w:rFonts w:hint="eastAsia"/>
          <w:sz w:val="28"/>
          <w:szCs w:val="28"/>
        </w:rPr>
        <w:t>个乡镇监管站标准化建设，实现每个乡镇具备基本检测能力的检测站，形成布局合理、功能完善的检测网络。</w:t>
      </w:r>
    </w:p>
    <w:p w14:paraId="7E8A6062">
      <w:pPr>
        <w:pStyle w:val="4"/>
        <w:keepLines w:val="0"/>
        <w:topLinePunct/>
        <w:spacing w:before="0" w:after="0" w:line="540" w:lineRule="exact"/>
        <w:ind w:firstLine="590" w:firstLineChars="210"/>
        <w:rPr>
          <w:sz w:val="28"/>
          <w:szCs w:val="28"/>
        </w:rPr>
      </w:pPr>
      <w:bookmarkStart w:id="79" w:name="_Toc237987626"/>
      <w:r>
        <w:rPr>
          <w:rFonts w:hint="eastAsia"/>
          <w:sz w:val="28"/>
          <w:szCs w:val="28"/>
        </w:rPr>
        <w:t>（四）加大招商引资力度</w:t>
      </w:r>
      <w:bookmarkEnd w:id="79"/>
    </w:p>
    <w:p w14:paraId="7CBD74AE">
      <w:pPr>
        <w:spacing w:line="580" w:lineRule="exact"/>
        <w:ind w:firstLine="560" w:firstLineChars="200"/>
        <w:rPr>
          <w:sz w:val="28"/>
          <w:szCs w:val="28"/>
        </w:rPr>
      </w:pPr>
      <w:r>
        <w:rPr>
          <w:rFonts w:hint="eastAsia"/>
          <w:sz w:val="28"/>
          <w:szCs w:val="28"/>
        </w:rPr>
        <w:t>1．围绕产业链加大招商引资。围绕牛羊驴肉业、鸡鸭兔产业、种业、小麦玉米产业、特色种植产业、设施蔬菜产业、菌产业等涉农产业链和中草药种植加工，针对短板弱项，加大招商引资力度，吸引有实力的企业落户，投资办厂，提升规模化种植、养殖、加工水平，延伸产业链，提高附加值。</w:t>
      </w:r>
    </w:p>
    <w:p w14:paraId="51A3B513">
      <w:pPr>
        <w:spacing w:line="580" w:lineRule="exact"/>
        <w:ind w:firstLine="560" w:firstLineChars="200"/>
        <w:rPr>
          <w:sz w:val="28"/>
          <w:szCs w:val="28"/>
        </w:rPr>
      </w:pPr>
      <w:r>
        <w:rPr>
          <w:rFonts w:hint="eastAsia"/>
          <w:sz w:val="28"/>
          <w:szCs w:val="28"/>
        </w:rPr>
        <w:t>2．强化项目要素保障。积极与发改、财政、商务、自然资源、水利等部门沟通协调，协同做好土地、用水指标、金融财税等要素保障，制定切合实际的支持政策，帮助企业解决投资、建设、运营方面的难题。</w:t>
      </w:r>
    </w:p>
    <w:p w14:paraId="4D7F2E7D">
      <w:pPr>
        <w:spacing w:line="580" w:lineRule="exact"/>
        <w:ind w:firstLine="560" w:firstLineChars="200"/>
        <w:rPr>
          <w:sz w:val="28"/>
          <w:szCs w:val="28"/>
        </w:rPr>
      </w:pPr>
      <w:r>
        <w:rPr>
          <w:rFonts w:hint="eastAsia"/>
          <w:sz w:val="28"/>
          <w:szCs w:val="28"/>
        </w:rPr>
        <w:t>3．拓宽招商信息渠道。加强与国内外知名招商中介机构合作，建立长期稳定的合作关系，借助其资源和渠道，获取更多优质招商信息；充分利用互联网平台，开展线上招商活动，扩大招商宣传覆盖面。</w:t>
      </w:r>
    </w:p>
    <w:p w14:paraId="175FCA79">
      <w:pPr>
        <w:spacing w:line="580" w:lineRule="exact"/>
        <w:ind w:firstLine="560" w:firstLineChars="200"/>
        <w:rPr>
          <w:sz w:val="28"/>
          <w:szCs w:val="28"/>
        </w:rPr>
      </w:pPr>
      <w:r>
        <w:rPr>
          <w:rFonts w:hint="eastAsia"/>
          <w:sz w:val="28"/>
          <w:szCs w:val="28"/>
        </w:rPr>
        <w:t>4．加强招商队伍建设。定期组织招商人员培训，采取邀请专家学者、企业高管等进行授课，学习农业产业政策、投资分析、商务洽谈等知识，提升招商人员专业素质和业务能力；积极组织到招引生产加工性企业成效明显的地州观摩学习，借鉴成功经验，促进招商质效。</w:t>
      </w:r>
    </w:p>
    <w:p w14:paraId="2949E65E">
      <w:pPr>
        <w:spacing w:line="580" w:lineRule="exact"/>
        <w:ind w:firstLine="560" w:firstLineChars="200"/>
        <w:rPr>
          <w:sz w:val="28"/>
          <w:szCs w:val="28"/>
        </w:rPr>
      </w:pPr>
      <w:r>
        <w:rPr>
          <w:rFonts w:hint="eastAsia"/>
          <w:sz w:val="28"/>
          <w:szCs w:val="28"/>
        </w:rPr>
        <w:t>5．加大外出招商力度。组建专业招商团队，制定详细的招商计划，定期赴长三角、珠三角、京津冀等经济发达地区开展招商活动，重点对接农产品加工企业和农业科技企业，积极引进一批大项目、好项目。</w:t>
      </w:r>
    </w:p>
    <w:p w14:paraId="3AA42EFD">
      <w:pPr>
        <w:pStyle w:val="3"/>
        <w:widowControl/>
        <w:spacing w:before="0" w:after="0" w:line="600" w:lineRule="exact"/>
        <w:ind w:firstLine="562" w:firstLineChars="200"/>
        <w:rPr>
          <w:rFonts w:ascii="Arial" w:hAnsi="Arial" w:eastAsia="黑体"/>
          <w:bCs w:val="0"/>
          <w:kern w:val="0"/>
          <w:sz w:val="28"/>
          <w:szCs w:val="20"/>
        </w:rPr>
      </w:pPr>
      <w:bookmarkStart w:id="80" w:name="_Toc237987627"/>
      <w:r>
        <w:rPr>
          <w:rFonts w:hint="eastAsia" w:ascii="Arial" w:hAnsi="Arial" w:eastAsia="黑体"/>
          <w:bCs w:val="0"/>
          <w:kern w:val="0"/>
          <w:sz w:val="28"/>
          <w:szCs w:val="20"/>
        </w:rPr>
        <w:t>五、加快推进农业现代化</w:t>
      </w:r>
      <w:bookmarkEnd w:id="80"/>
    </w:p>
    <w:p w14:paraId="0956A070">
      <w:pPr>
        <w:spacing w:line="580" w:lineRule="exact"/>
        <w:ind w:firstLine="560" w:firstLineChars="200"/>
        <w:rPr>
          <w:sz w:val="28"/>
          <w:szCs w:val="28"/>
        </w:rPr>
      </w:pPr>
      <w:r>
        <w:rPr>
          <w:rFonts w:hint="eastAsia"/>
          <w:sz w:val="28"/>
          <w:szCs w:val="28"/>
        </w:rPr>
        <w:t>坚持农业农村优先发展，以全面推进乡村振兴为总抓手，加快农业</w:t>
      </w:r>
      <w:r>
        <w:rPr>
          <w:rFonts w:hint="eastAsia"/>
          <w:sz w:val="28"/>
          <w:szCs w:val="28"/>
          <w:lang w:eastAsia="zh-CN"/>
        </w:rPr>
        <w:t>农村</w:t>
      </w:r>
      <w:r>
        <w:rPr>
          <w:rFonts w:hint="eastAsia"/>
          <w:sz w:val="28"/>
          <w:szCs w:val="28"/>
        </w:rPr>
        <w:t>现代化进程，构建一个“产能稳固、科技高效、产业兴旺、机制灵活、共同富裕”的现代农业农村发展新格局，为实现乡村全面振兴提供坚实支撑。严守耕地红线，推进高标准农田和盐碱地治理，保障粮食与耕地安全。强化种业科技，以科技赋能农业效率与可持续性，发展智能农机与节水农业，推动绿色生产。构建以农户为基础、多元主体协同的现代</w:t>
      </w:r>
      <w:r>
        <w:rPr>
          <w:rFonts w:hint="eastAsia"/>
          <w:sz w:val="28"/>
          <w:szCs w:val="28"/>
          <w:lang w:eastAsia="zh-CN"/>
        </w:rPr>
        <w:t>农业</w:t>
      </w:r>
      <w:r>
        <w:rPr>
          <w:rFonts w:hint="eastAsia"/>
          <w:sz w:val="28"/>
          <w:szCs w:val="28"/>
        </w:rPr>
        <w:t>经营体系，壮大新型农村集体经济，完善联农带农机制发展产加销贯通、农文旅融合的现代乡村产业，培育农业品牌拓展农产品市场。深化土地承包、宅基地和集体经营性建设用地改革，健全农村产权交易与资产监管，激发农村发展活力。</w:t>
      </w:r>
    </w:p>
    <w:p w14:paraId="002940DE">
      <w:pPr>
        <w:spacing w:line="580" w:lineRule="exact"/>
        <w:ind w:firstLine="560" w:firstLineChars="200"/>
        <w:rPr>
          <w:sz w:val="28"/>
          <w:szCs w:val="28"/>
        </w:rPr>
      </w:pPr>
      <w:r>
        <w:rPr>
          <w:rFonts w:hint="eastAsia"/>
          <w:sz w:val="28"/>
          <w:szCs w:val="28"/>
        </w:rPr>
        <w:t>到2030年，耕地面积稳定在68.36万亩；新增高标准农田面积5万亩，提升耕地质量和抗灾能力；土地碎片化治理达到5万亩，促进适度规模经营，提高生产效率；盐碱地治理约8.18万亩，拓展可利用耕地资源，改善生态；粮食年产量达到1</w:t>
      </w:r>
      <w:r>
        <w:rPr>
          <w:sz w:val="28"/>
          <w:szCs w:val="28"/>
        </w:rPr>
        <w:t>9</w:t>
      </w:r>
      <w:r>
        <w:rPr>
          <w:rFonts w:hint="eastAsia"/>
          <w:sz w:val="28"/>
          <w:szCs w:val="28"/>
        </w:rPr>
        <w:t>万吨，保障区域粮食安全。主要粮食农业机械化率达到85%以上，农业生产方式基本实现现代化；农业节水灌溉面积达到35.1万亩，提高水资源利用效率，应对资源约束；薄皮核桃种植面积保持22.42万亩，特色优势产业可持续发展；村集体经济收入50万元以上60个，100万元以上20个，培育一批经济强村，发挥示范引领作用，推动中等收入村</w:t>
      </w:r>
      <w:r>
        <w:rPr>
          <w:rFonts w:hint="eastAsia"/>
          <w:sz w:val="28"/>
          <w:szCs w:val="28"/>
          <w:lang w:eastAsia="zh-CN"/>
        </w:rPr>
        <w:t>集</w:t>
      </w:r>
      <w:r>
        <w:rPr>
          <w:rFonts w:hint="eastAsia"/>
          <w:sz w:val="28"/>
          <w:szCs w:val="28"/>
        </w:rPr>
        <w:t>体扩大，实现整体提升；土地承包延包完成率100%，稳定农民土地承包预期，奠定长期发展基础；农村产权交易与资产监管覆盖率达到100%，实现农村资产规范化、市场化管理，保障农民权益。“十五五”期间预计数字技术与现代农业类项目投资</w:t>
      </w:r>
      <w:r>
        <w:rPr>
          <w:sz w:val="28"/>
          <w:szCs w:val="28"/>
        </w:rPr>
        <w:t>13600</w:t>
      </w:r>
      <w:r>
        <w:rPr>
          <w:rFonts w:hint="eastAsia"/>
          <w:sz w:val="28"/>
          <w:szCs w:val="28"/>
        </w:rPr>
        <w:t>万元。</w:t>
      </w:r>
    </w:p>
    <w:p w14:paraId="6F3010D5">
      <w:pPr>
        <w:pStyle w:val="3"/>
        <w:widowControl/>
        <w:spacing w:before="0" w:after="0" w:line="600" w:lineRule="exact"/>
        <w:ind w:firstLine="562" w:firstLineChars="200"/>
        <w:rPr>
          <w:rFonts w:ascii="Arial" w:hAnsi="Arial" w:eastAsia="黑体"/>
          <w:bCs w:val="0"/>
          <w:kern w:val="0"/>
          <w:sz w:val="28"/>
          <w:szCs w:val="20"/>
        </w:rPr>
      </w:pPr>
      <w:bookmarkStart w:id="81" w:name="_Toc237987628"/>
      <w:r>
        <w:rPr>
          <w:rFonts w:hint="eastAsia" w:ascii="Arial" w:hAnsi="Arial" w:eastAsia="黑体"/>
          <w:bCs w:val="0"/>
          <w:kern w:val="0"/>
          <w:sz w:val="28"/>
          <w:szCs w:val="20"/>
        </w:rPr>
        <w:t>六、高质量推进建设宜居宜业和美乡村</w:t>
      </w:r>
      <w:bookmarkEnd w:id="81"/>
    </w:p>
    <w:p w14:paraId="4A7D1DC3">
      <w:pPr>
        <w:spacing w:line="580" w:lineRule="exact"/>
        <w:ind w:firstLine="560" w:firstLineChars="200"/>
        <w:rPr>
          <w:sz w:val="28"/>
          <w:szCs w:val="28"/>
        </w:rPr>
      </w:pPr>
      <w:r>
        <w:rPr>
          <w:rFonts w:hint="eastAsia"/>
          <w:sz w:val="28"/>
          <w:szCs w:val="28"/>
        </w:rPr>
        <w:t>建设具有皮山特色的宜居宜业和美乡村。学习运用“千万工程”经验，实施乡村建设行动，提升农村现代生活水平。坚持以人为本，始终把实现好、维护好、发展好农民群众的根本利益作为出发点和落脚点，尊重农民意愿，激发内生动力。坚持系统观念，统筹乡村发展、建设、治理，协调规划、建设、管理、运营全过程，实现农村生产、生活、生态“三生融合”。坚持因地制宜，分类施策，精准发力，不搞“一刀切”，打造各具特色的现代版“富春山居图”。优化村镇规划，引领科学发展，推进“多规合一”的实用性村庄规划编制全覆盖，确保规划符合实际、便于操作、农民认可。明确发展梯次，</w:t>
      </w:r>
    </w:p>
    <w:p w14:paraId="2AE12AE2">
      <w:pPr>
        <w:spacing w:line="580" w:lineRule="exact"/>
        <w:ind w:firstLine="560" w:firstLineChars="200"/>
        <w:rPr>
          <w:sz w:val="28"/>
          <w:szCs w:val="28"/>
        </w:rPr>
      </w:pPr>
      <w:r>
        <w:rPr>
          <w:rFonts w:hint="eastAsia"/>
          <w:sz w:val="28"/>
          <w:szCs w:val="28"/>
        </w:rPr>
        <w:t>到2030年，分层分类建成一批在全县具有示范效应的美丽宜居示范村，并带动周边乡村连片发展。保护乡村风貌，加强对传统村落、特色民居、历史文化的保护与活化利用，防止“千村一面”，留住乡愁记忆。推进基础设施提档升级，筑牢现代化根基，完善交通、供水、燃气、通信和住房安全体系，持续推进“四好农村路”建设，打通“最后一公里”，发展城乡一体化公共交通。实施农村供水保障工程，推进城乡供水一体化。因地制宜发展农村燃气。巩固提升农村住房安全质量。</w:t>
      </w:r>
    </w:p>
    <w:p w14:paraId="22A5BF66">
      <w:pPr>
        <w:spacing w:line="580" w:lineRule="exact"/>
        <w:ind w:firstLine="560" w:firstLineChars="200"/>
        <w:rPr>
          <w:sz w:val="28"/>
          <w:szCs w:val="28"/>
        </w:rPr>
      </w:pPr>
      <w:r>
        <w:rPr>
          <w:rFonts w:hint="eastAsia"/>
          <w:sz w:val="28"/>
          <w:szCs w:val="28"/>
        </w:rPr>
        <w:t>加强数字乡村建设，推动千兆光网、5G网络向有条件、有需求的乡村延伸，夯实数字乡村基础。整治人居环境，建设生态宜居乡村，2030年实现乡镇污水处理设施全覆盖，并提升管网收集率和运行效能。深入推进农村“厕所革命”，加强粪污无害化处理与资源化利用。健全“户分类、村收集、镇转运、县处理”的垃圾收运处置体系，探索符合农村特点的分类处理模式。开展村庄绿化行动，建设森林乡村、小微公园和公共绿地，提升乡村生态品质。推进化肥农药减量增效，加强畜禽养殖废弃物资源化利用。</w:t>
      </w:r>
    </w:p>
    <w:p w14:paraId="17DF665B">
      <w:pPr>
        <w:spacing w:line="580" w:lineRule="exact"/>
        <w:ind w:firstLine="560" w:firstLineChars="200"/>
        <w:rPr>
          <w:sz w:val="28"/>
          <w:szCs w:val="28"/>
        </w:rPr>
      </w:pPr>
      <w:r>
        <w:rPr>
          <w:rFonts w:hint="eastAsia"/>
          <w:sz w:val="28"/>
          <w:szCs w:val="28"/>
        </w:rPr>
        <w:t>推动城乡教育、医疗、养老等公共服务均等化，共享现代文明成果，优化城乡教育联合体，推动县域医共体建设提质增效，促进优质资源下沉。加强乡村教师、医生队伍建设。发展农村普惠型养老服务和互助性养老，构建居家社区机构相协调、医养康养相结合的养老服务体系。推进“互联网+政务服务”向乡村延伸，拓展智慧教育、远程医疗、数字文化等应用场景，弥合城乡“数字鸿沟”。健全乡村治理体系，促进和谐稳定，推进平安建设、精神文明建设和基层组织设施标准化，提升基层服务能力。强化党建引领，深化基层党组织标准化规范化建设，增强政治功能和组织功能，发挥战斗堡垒作用。创新治理模式，健全党组织领导下的自治、法治、德治相结合的乡村治理体系。推广积分制、清单制等有效治理方式。推进平安法治建设，完善农村社会治安</w:t>
      </w:r>
      <w:r>
        <w:rPr>
          <w:rFonts w:hint="eastAsia"/>
          <w:sz w:val="28"/>
          <w:szCs w:val="28"/>
          <w:lang w:eastAsia="zh-CN"/>
        </w:rPr>
        <w:t>整体</w:t>
      </w:r>
      <w:r>
        <w:rPr>
          <w:rFonts w:hint="eastAsia"/>
          <w:sz w:val="28"/>
          <w:szCs w:val="28"/>
        </w:rPr>
        <w:t>防控体系，深化矛盾纠纷排查化解。加强精神文明建设：培育和践行社会主义核心价值观，深化文明村镇、文明家庭创建，推进移风易俗，传承发展优秀乡土文化。“十五五”期间基础设施建设类项目预计投资</w:t>
      </w:r>
      <w:r>
        <w:rPr>
          <w:sz w:val="28"/>
          <w:szCs w:val="28"/>
        </w:rPr>
        <w:t>115000</w:t>
      </w:r>
      <w:r>
        <w:rPr>
          <w:rFonts w:hint="eastAsia"/>
          <w:sz w:val="28"/>
          <w:szCs w:val="28"/>
        </w:rPr>
        <w:t>万元，</w:t>
      </w:r>
      <w:r>
        <w:rPr>
          <w:sz w:val="28"/>
          <w:szCs w:val="28"/>
        </w:rPr>
        <w:t>和美乡村</w:t>
      </w:r>
      <w:r>
        <w:rPr>
          <w:rFonts w:hint="eastAsia"/>
          <w:sz w:val="28"/>
          <w:szCs w:val="28"/>
        </w:rPr>
        <w:t>投资</w:t>
      </w:r>
      <w:r>
        <w:rPr>
          <w:sz w:val="28"/>
          <w:szCs w:val="28"/>
        </w:rPr>
        <w:t>74000万元</w:t>
      </w:r>
      <w:r>
        <w:rPr>
          <w:rFonts w:hint="eastAsia"/>
          <w:sz w:val="28"/>
          <w:szCs w:val="28"/>
        </w:rPr>
        <w:t>。</w:t>
      </w:r>
      <w:bookmarkEnd w:id="69"/>
      <w:bookmarkEnd w:id="70"/>
    </w:p>
    <w:p w14:paraId="5486B9EC">
      <w:pPr>
        <w:pStyle w:val="3"/>
        <w:widowControl/>
        <w:spacing w:before="0" w:after="0" w:line="600" w:lineRule="exact"/>
        <w:ind w:firstLine="562" w:firstLineChars="200"/>
        <w:rPr>
          <w:rFonts w:ascii="Arial" w:hAnsi="Arial" w:eastAsia="黑体"/>
          <w:bCs w:val="0"/>
          <w:kern w:val="0"/>
          <w:sz w:val="28"/>
          <w:szCs w:val="20"/>
        </w:rPr>
      </w:pPr>
      <w:bookmarkStart w:id="82" w:name="_Toc237987629"/>
      <w:r>
        <w:rPr>
          <w:rFonts w:hint="eastAsia" w:ascii="Arial" w:hAnsi="Arial" w:eastAsia="黑体"/>
          <w:bCs w:val="0"/>
          <w:kern w:val="0"/>
          <w:sz w:val="28"/>
          <w:szCs w:val="20"/>
        </w:rPr>
        <w:t>七、积极推动城乡融合发展</w:t>
      </w:r>
      <w:bookmarkEnd w:id="82"/>
    </w:p>
    <w:p w14:paraId="587B4FE2">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破除城乡二元结构，推动资源要素在城乡间双向自由流动和平等交换，实现发展成果共享。实现基础设施与公共服务一体化，让农村居民享有与城市可比的基础设施和公共服务，推行规划先行，统一规划，避免重复建设和资源浪费。设施延伸，将城市的供水、供气、污水处理、垃圾处理网络和管理标准向乡村覆盖。管护创新，建立一体化的建设、管理、维护机制，确保设施“建得好、用得住”。推动要素市场化配置改革，激活农村沉睡资源，吸引现代要素流向乡村。土地改革，建设城乡统一的建设用地市场，实现同地同权同价。盘活闲置资源，如闲置宅基地、农房，用于发展乡村新产业新业态。深化试点，推进农村集体经营性建设用地入市，增加农民财产性收入。</w:t>
      </w:r>
    </w:p>
    <w:p w14:paraId="286FA5CE">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通过全域土地综合整治、园区用地整治，提升土地利用效率。加强资金保障，健全财政投入稳定增长机制。创新金融服务，引导更多金融活水精准滴灌乡村振兴。优化营商环境，促进社会资本投资农业农村。重视科技与人才，制定人才制度，吸引和留住创业就业人才，完善乡村服务与激励政策。加强科技转化，打通“实验室”到“田间地头”的通道，让先进技术赋能农业和乡村产业。</w:t>
      </w:r>
    </w:p>
    <w:p w14:paraId="303E9DB4">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加快推进乡镇建设，强化乡镇的综合服务功能，把乡镇建成乡村治理中心（基层政权和公共事务管理的枢纽）、农村服务中心（提供医疗、教育、文化、商贸等综合服务）、乡村经济中心（集聚小型加工、仓储物流、乡村旅游等产业）。持续巩固拓展脱贫攻坚成果，实现从“攻坚战”向“常态化”帮扶的平稳过渡，守住不发生规模性返贫底线。</w:t>
      </w:r>
    </w:p>
    <w:p w14:paraId="7DE37433">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大力发展县域经济，县域经济作为城乡融合的主要载体，大力发展县域特色产业，创造就业，吸引人口就近城镇化。落实产业就业等开发式帮扶措施，开发式帮扶聚焦产业和就业，提升内生发展能力。统筹援疆帮扶、定点帮扶、区内协作，形成合力。推进消费帮扶，拓宽农产品销售渠道，建立稳定购销关系。健全脱贫攻坚投入形成资产的长效管理机制，完善经营性帮扶(扶贫)项目动态监管体系，管好用好脱贫攻坚期形成的各类资产，确保其持续发挥效益。建立农村低收入人口分层分类帮扶制度，完善覆盖农村人口的常态化防止返贫致贫机制，实现早发现、早干预、早帮扶。</w:t>
      </w:r>
    </w:p>
    <w:p w14:paraId="60E1D10C">
      <w:pPr>
        <w:pStyle w:val="24"/>
        <w:spacing w:after="0" w:line="580" w:lineRule="exact"/>
        <w:ind w:left="0" w:leftChars="0" w:firstLine="560" w:firstLineChars="200"/>
        <w:rPr>
          <w:rFonts w:ascii="Times New Roman" w:hAnsi="Times New Roman" w:eastAsia="仿宋_GB2312"/>
          <w:kern w:val="2"/>
          <w:sz w:val="28"/>
          <w:szCs w:val="28"/>
        </w:rPr>
      </w:pPr>
    </w:p>
    <w:p w14:paraId="5EC38630">
      <w:pPr>
        <w:widowControl/>
        <w:jc w:val="left"/>
        <w:rPr>
          <w:rFonts w:eastAsia="宋体"/>
          <w:b/>
          <w:kern w:val="44"/>
          <w:szCs w:val="20"/>
        </w:rPr>
      </w:pPr>
      <w:bookmarkStart w:id="83" w:name="_Toc23953"/>
      <w:bookmarkStart w:id="84" w:name="_Toc11169"/>
      <w:r>
        <w:rPr>
          <w:rFonts w:eastAsia="宋体"/>
          <w:b/>
          <w:szCs w:val="20"/>
        </w:rPr>
        <w:br w:type="page"/>
      </w:r>
    </w:p>
    <w:p w14:paraId="0C433CA9">
      <w:pPr>
        <w:pStyle w:val="2"/>
        <w:widowControl/>
        <w:spacing w:line="600" w:lineRule="exact"/>
        <w:jc w:val="center"/>
        <w:rPr>
          <w:rFonts w:ascii="Times New Roman" w:hAnsi="Times New Roman" w:eastAsia="宋体"/>
          <w:b/>
          <w:sz w:val="32"/>
          <w:szCs w:val="20"/>
        </w:rPr>
      </w:pPr>
      <w:bookmarkStart w:id="85" w:name="_Toc237987630"/>
      <w:r>
        <w:rPr>
          <w:rFonts w:hint="eastAsia" w:ascii="Times New Roman" w:hAnsi="Times New Roman" w:eastAsia="宋体"/>
          <w:b/>
          <w:sz w:val="32"/>
          <w:szCs w:val="20"/>
        </w:rPr>
        <w:t xml:space="preserve">第五章 </w:t>
      </w:r>
      <w:r>
        <w:rPr>
          <w:rFonts w:ascii="Times New Roman" w:hAnsi="Times New Roman" w:eastAsia="宋体"/>
          <w:b/>
          <w:sz w:val="32"/>
          <w:szCs w:val="20"/>
        </w:rPr>
        <w:t>重大工程和项目</w:t>
      </w:r>
      <w:bookmarkEnd w:id="83"/>
      <w:bookmarkEnd w:id="84"/>
      <w:bookmarkEnd w:id="85"/>
    </w:p>
    <w:p w14:paraId="3B4707B8">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十五五”期间，皮山县计划实施各类项目共96个项目，产业定位重点发展优质畜产品产业（畜禽扩产能）、优质绿色果蔬产业（设施农业、特色种植）、高标准农田建设（土地碎片化治理）、和美乡村建设等，所有项目实施须符合国土空间规划、生态红线及行业专项规划要求。</w:t>
      </w:r>
    </w:p>
    <w:p w14:paraId="56CE5273">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总投资规模约</w:t>
      </w:r>
      <w:r>
        <w:rPr>
          <w:rFonts w:ascii="Times New Roman" w:hAnsi="Times New Roman" w:eastAsia="仿宋_GB2312"/>
          <w:kern w:val="2"/>
          <w:sz w:val="28"/>
          <w:szCs w:val="28"/>
        </w:rPr>
        <w:t>8</w:t>
      </w:r>
      <w:r>
        <w:rPr>
          <w:rFonts w:hint="eastAsia" w:ascii="Times New Roman" w:hAnsi="Times New Roman" w:eastAsia="仿宋_GB2312"/>
          <w:kern w:val="2"/>
          <w:sz w:val="28"/>
          <w:szCs w:val="28"/>
        </w:rPr>
        <w:t>3.11亿元。计划争取6类资金。一是中央预算内资金</w:t>
      </w:r>
      <w:r>
        <w:rPr>
          <w:rFonts w:ascii="Times New Roman" w:hAnsi="Times New Roman" w:eastAsia="仿宋_GB2312"/>
          <w:kern w:val="2"/>
          <w:sz w:val="28"/>
          <w:szCs w:val="28"/>
        </w:rPr>
        <w:t>5.63</w:t>
      </w:r>
      <w:r>
        <w:rPr>
          <w:rFonts w:hint="eastAsia" w:ascii="Times New Roman" w:hAnsi="Times New Roman" w:eastAsia="仿宋_GB2312"/>
          <w:kern w:val="2"/>
          <w:sz w:val="28"/>
          <w:szCs w:val="28"/>
        </w:rPr>
        <w:t>亿元；二是行业专项资金29.88亿元；三是中央专项资金19.07亿元；四是援疆资金1</w:t>
      </w:r>
      <w:r>
        <w:rPr>
          <w:rFonts w:ascii="Times New Roman" w:hAnsi="Times New Roman" w:eastAsia="仿宋_GB2312"/>
          <w:kern w:val="2"/>
          <w:sz w:val="28"/>
          <w:szCs w:val="28"/>
        </w:rPr>
        <w:t>.81</w:t>
      </w:r>
      <w:r>
        <w:rPr>
          <w:rFonts w:hint="eastAsia" w:ascii="Times New Roman" w:hAnsi="Times New Roman" w:eastAsia="仿宋_GB2312"/>
          <w:kern w:val="2"/>
          <w:sz w:val="28"/>
          <w:szCs w:val="28"/>
        </w:rPr>
        <w:t>亿元；五是债券资金</w:t>
      </w:r>
      <w:r>
        <w:rPr>
          <w:rFonts w:ascii="Times New Roman" w:hAnsi="Times New Roman" w:eastAsia="仿宋_GB2312"/>
          <w:kern w:val="2"/>
          <w:sz w:val="28"/>
          <w:szCs w:val="28"/>
        </w:rPr>
        <w:t>3.52</w:t>
      </w:r>
      <w:r>
        <w:rPr>
          <w:rFonts w:hint="eastAsia" w:ascii="Times New Roman" w:hAnsi="Times New Roman" w:eastAsia="仿宋_GB2312"/>
          <w:kern w:val="2"/>
          <w:sz w:val="28"/>
          <w:szCs w:val="28"/>
        </w:rPr>
        <w:t>亿元；六是其他投资</w:t>
      </w:r>
      <w:r>
        <w:rPr>
          <w:rFonts w:ascii="Times New Roman" w:hAnsi="Times New Roman" w:eastAsia="仿宋_GB2312"/>
          <w:kern w:val="2"/>
          <w:sz w:val="28"/>
          <w:szCs w:val="28"/>
        </w:rPr>
        <w:t>2</w:t>
      </w:r>
      <w:r>
        <w:rPr>
          <w:rFonts w:hint="eastAsia" w:ascii="Times New Roman" w:hAnsi="Times New Roman" w:eastAsia="仿宋_GB2312"/>
          <w:kern w:val="2"/>
          <w:sz w:val="28"/>
          <w:szCs w:val="28"/>
        </w:rPr>
        <w:t>3</w:t>
      </w:r>
      <w:r>
        <w:rPr>
          <w:rFonts w:ascii="Times New Roman" w:hAnsi="Times New Roman" w:eastAsia="仿宋_GB2312"/>
          <w:kern w:val="2"/>
          <w:sz w:val="28"/>
          <w:szCs w:val="28"/>
        </w:rPr>
        <w:t>.</w:t>
      </w:r>
      <w:r>
        <w:rPr>
          <w:rFonts w:hint="eastAsia" w:ascii="Times New Roman" w:hAnsi="Times New Roman" w:eastAsia="仿宋_GB2312"/>
          <w:kern w:val="2"/>
          <w:sz w:val="28"/>
          <w:szCs w:val="28"/>
        </w:rPr>
        <w:t>20亿元。</w:t>
      </w:r>
    </w:p>
    <w:p w14:paraId="15985E9F">
      <w:pPr>
        <w:pStyle w:val="3"/>
        <w:widowControl/>
        <w:spacing w:before="0" w:after="0" w:line="600" w:lineRule="exact"/>
        <w:ind w:firstLine="562" w:firstLineChars="200"/>
        <w:rPr>
          <w:rFonts w:ascii="Arial" w:hAnsi="Arial" w:eastAsia="黑体"/>
          <w:bCs w:val="0"/>
          <w:kern w:val="0"/>
          <w:sz w:val="28"/>
          <w:szCs w:val="20"/>
        </w:rPr>
      </w:pPr>
      <w:bookmarkStart w:id="86" w:name="_Toc237987631"/>
      <w:r>
        <w:rPr>
          <w:rFonts w:hint="eastAsia" w:ascii="Arial" w:hAnsi="Arial" w:eastAsia="黑体"/>
          <w:bCs w:val="0"/>
          <w:kern w:val="0"/>
          <w:sz w:val="28"/>
          <w:szCs w:val="20"/>
        </w:rPr>
        <w:t>一、粮油产业类</w:t>
      </w:r>
      <w:bookmarkEnd w:id="86"/>
    </w:p>
    <w:p w14:paraId="2F7FB607">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包括种植业补贴类、种植产业发展类、种植技术提升类、农机服务类、农作物现代提升工程类、数字技术智慧农业及农业品牌培育类，该类别项目共谋划</w:t>
      </w:r>
      <w:r>
        <w:rPr>
          <w:rFonts w:ascii="Times New Roman" w:hAnsi="Times New Roman" w:eastAsia="仿宋_GB2312"/>
          <w:kern w:val="2"/>
          <w:sz w:val="28"/>
          <w:szCs w:val="28"/>
        </w:rPr>
        <w:t>2</w:t>
      </w:r>
      <w:r>
        <w:rPr>
          <w:rFonts w:hint="eastAsia" w:ascii="Times New Roman" w:hAnsi="Times New Roman" w:eastAsia="仿宋_GB2312"/>
          <w:kern w:val="2"/>
          <w:sz w:val="28"/>
          <w:szCs w:val="28"/>
        </w:rPr>
        <w:t>1个项目，总投资3.77亿元。</w:t>
      </w:r>
    </w:p>
    <w:p w14:paraId="26931E87">
      <w:pPr>
        <w:pStyle w:val="4"/>
        <w:keepLines w:val="0"/>
        <w:topLinePunct/>
        <w:spacing w:before="0" w:after="0" w:line="540" w:lineRule="exact"/>
        <w:ind w:firstLine="590" w:firstLineChars="210"/>
        <w:rPr>
          <w:sz w:val="28"/>
          <w:szCs w:val="28"/>
        </w:rPr>
      </w:pPr>
      <w:bookmarkStart w:id="87" w:name="_Toc237987632"/>
      <w:r>
        <w:rPr>
          <w:rFonts w:hint="eastAsia"/>
          <w:sz w:val="28"/>
          <w:szCs w:val="28"/>
        </w:rPr>
        <w:t>（一）种植业补贴类</w:t>
      </w:r>
      <w:bookmarkEnd w:id="87"/>
    </w:p>
    <w:p w14:paraId="6B4639B6">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支持从事规模种植的大户、家庭农场、农民合作社等新型农业经营主体，提高玉米密植高产精准调控，小麦缩行增密提产，油菜封闭除草控肥增效等关键技术到位率和覆盖面，提升主要粮油作物单产水平，提高农民种粮积极性，减轻种植成本，稳定粮食生产。同时积极开展农业农村领域招商引资工作，吸引优质资本进入农业农村领域。该类别项目共谋划3个项目，总投资16743万元。</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24B3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41E0C8F2">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专栏1种植业补贴类重点项目</w:t>
            </w:r>
          </w:p>
        </w:tc>
      </w:tr>
      <w:tr w14:paraId="33FE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3B3F9440">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皮山县粮油规模种植主体单产提升项目：</w:t>
            </w:r>
            <w:r>
              <w:rPr>
                <w:rFonts w:hint="eastAsia" w:ascii="Times New Roman" w:hAnsi="Times New Roman" w:eastAsia="楷体"/>
                <w:sz w:val="24"/>
              </w:rPr>
              <w:t>总投资</w:t>
            </w:r>
            <w:r>
              <w:rPr>
                <w:rFonts w:ascii="Times New Roman" w:hAnsi="Times New Roman" w:eastAsia="楷体"/>
                <w:sz w:val="24"/>
              </w:rPr>
              <w:t>217</w:t>
            </w:r>
            <w:r>
              <w:rPr>
                <w:rFonts w:hint="eastAsia" w:ascii="Times New Roman" w:hAnsi="Times New Roman" w:eastAsia="楷体"/>
                <w:sz w:val="24"/>
              </w:rPr>
              <w:t>万元，主要建设内容为：支持从事粮油规模种植的大户、家庭农场、农民合作社等新型农业经营主体，提高玉米密植高产精准调控，小麦缩行增密提产，油菜封闭除草控肥增效等关键技术到位率和覆盖面，提升主要粮油作物单产水平。</w:t>
            </w:r>
          </w:p>
          <w:p w14:paraId="4ABA546F">
            <w:pPr>
              <w:pStyle w:val="24"/>
              <w:spacing w:after="0" w:line="400" w:lineRule="exact"/>
              <w:ind w:left="0" w:leftChars="0" w:firstLine="482" w:firstLineChars="200"/>
              <w:rPr>
                <w:rFonts w:ascii="Times New Roman" w:hAnsi="Times New Roman" w:eastAsia="楷体"/>
                <w:b/>
                <w:sz w:val="24"/>
              </w:rPr>
            </w:pPr>
            <w:r>
              <w:rPr>
                <w:rFonts w:hint="eastAsia" w:ascii="Times New Roman" w:hAnsi="Times New Roman" w:eastAsia="楷体"/>
                <w:b/>
                <w:sz w:val="24"/>
              </w:rPr>
              <w:t>皮山县小麦“一喷三防”项目：</w:t>
            </w:r>
            <w:r>
              <w:rPr>
                <w:rFonts w:hint="eastAsia" w:ascii="Times New Roman" w:hAnsi="Times New Roman" w:eastAsia="楷体"/>
                <w:sz w:val="24"/>
              </w:rPr>
              <w:t>总投资</w:t>
            </w:r>
            <w:r>
              <w:rPr>
                <w:rFonts w:ascii="Times New Roman" w:hAnsi="Times New Roman" w:eastAsia="楷体"/>
                <w:sz w:val="24"/>
              </w:rPr>
              <w:t>217</w:t>
            </w:r>
            <w:r>
              <w:rPr>
                <w:rFonts w:hint="eastAsia" w:ascii="Times New Roman" w:hAnsi="Times New Roman" w:eastAsia="楷体"/>
                <w:sz w:val="24"/>
              </w:rPr>
              <w:t>万元，主要建设内容为：支持专业化服务组织对农户（含种粮大户、家庭农场）、农民专业合作社在小麦穗期开展“一喷三防”，一次性喷施杀虫剂、杀菌剂、植物生长调节剂和叶面肥，增强小麦抗逆性，防治小麦病虫害，防干热风、防倒伏，增加小麦粒重等。</w:t>
            </w:r>
          </w:p>
          <w:p w14:paraId="01E257DB">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皮山县耕地地力保护补贴项目：</w:t>
            </w:r>
            <w:r>
              <w:rPr>
                <w:rFonts w:hint="eastAsia" w:ascii="Times New Roman" w:hAnsi="Times New Roman" w:eastAsia="楷体"/>
                <w:sz w:val="24"/>
              </w:rPr>
              <w:t>总投资</w:t>
            </w:r>
            <w:r>
              <w:rPr>
                <w:rFonts w:ascii="Times New Roman" w:hAnsi="Times New Roman" w:eastAsia="楷体"/>
                <w:sz w:val="24"/>
              </w:rPr>
              <w:t>16309</w:t>
            </w:r>
            <w:r>
              <w:rPr>
                <w:rFonts w:hint="eastAsia" w:ascii="Times New Roman" w:hAnsi="Times New Roman" w:eastAsia="楷体"/>
                <w:sz w:val="24"/>
              </w:rPr>
              <w:t>万元，主要建设内容为：补贴对象为所有合法的实际农业种植者（含农场职工），用于种植小麦、玉米等特定作物，并落实秸秆综合利用、深松整地等保护耕地地力，提升耕地质量等措施。小麦每亩补贴230元。</w:t>
            </w:r>
          </w:p>
        </w:tc>
      </w:tr>
    </w:tbl>
    <w:p w14:paraId="3305C627">
      <w:pPr>
        <w:pStyle w:val="4"/>
        <w:keepLines w:val="0"/>
        <w:topLinePunct/>
        <w:spacing w:before="0" w:after="0" w:line="540" w:lineRule="exact"/>
        <w:ind w:firstLine="590" w:firstLineChars="210"/>
        <w:rPr>
          <w:sz w:val="28"/>
          <w:szCs w:val="28"/>
        </w:rPr>
      </w:pPr>
      <w:bookmarkStart w:id="88" w:name="_Toc237987633"/>
      <w:r>
        <w:rPr>
          <w:rFonts w:hint="eastAsia"/>
          <w:sz w:val="28"/>
          <w:szCs w:val="28"/>
        </w:rPr>
        <w:t>（二）种植技术提升类</w:t>
      </w:r>
      <w:bookmarkEnd w:id="88"/>
    </w:p>
    <w:p w14:paraId="70DA354B">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按照自治区农业农村厅社会事业促进处培育高素质农民项目计划，围绕皮山县产业发展需求和农牧民意愿制定培训计划，结合“理论+实训+观摩”开展高素质农民培育项目工作，培养懂技术、会经营的农村人才；推广主推技术，提升农技到位率；治理农业面源污染，提升耕地质量。该类别项目共谋划3个项目，总投资</w:t>
      </w:r>
      <w:r>
        <w:rPr>
          <w:rFonts w:ascii="Times New Roman" w:hAnsi="Times New Roman" w:eastAsia="仿宋_GB2312"/>
          <w:kern w:val="2"/>
          <w:sz w:val="28"/>
          <w:szCs w:val="28"/>
        </w:rPr>
        <w:t>2155</w:t>
      </w:r>
      <w:r>
        <w:rPr>
          <w:rFonts w:hint="eastAsia" w:ascii="Times New Roman" w:hAnsi="Times New Roman" w:eastAsia="仿宋_GB2312"/>
          <w:kern w:val="2"/>
          <w:sz w:val="28"/>
          <w:szCs w:val="28"/>
        </w:rPr>
        <w:t>万元。</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6411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2E371C40">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w:t>
            </w:r>
            <w:r>
              <w:rPr>
                <w:rFonts w:ascii="Times New Roman" w:hAnsi="Times New Roman" w:eastAsia="楷体"/>
                <w:b/>
                <w:bCs/>
                <w:sz w:val="28"/>
                <w:szCs w:val="28"/>
              </w:rPr>
              <w:t xml:space="preserve">2 </w:t>
            </w:r>
            <w:r>
              <w:rPr>
                <w:rFonts w:hint="eastAsia" w:ascii="Times New Roman" w:hAnsi="Times New Roman" w:eastAsia="楷体"/>
                <w:b/>
                <w:bCs/>
                <w:sz w:val="28"/>
                <w:szCs w:val="28"/>
              </w:rPr>
              <w:t>种植技术提升类重点项目</w:t>
            </w:r>
          </w:p>
        </w:tc>
      </w:tr>
      <w:tr w14:paraId="6732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40FAAD30">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高素质农民培育项目：</w:t>
            </w:r>
            <w:r>
              <w:rPr>
                <w:rFonts w:hint="eastAsia" w:ascii="Times New Roman" w:hAnsi="Times New Roman" w:eastAsia="楷体"/>
                <w:sz w:val="24"/>
              </w:rPr>
              <w:t>总投资</w:t>
            </w:r>
            <w:r>
              <w:rPr>
                <w:rFonts w:ascii="Times New Roman" w:hAnsi="Times New Roman" w:eastAsia="楷体"/>
                <w:sz w:val="24"/>
              </w:rPr>
              <w:t>180</w:t>
            </w:r>
            <w:r>
              <w:rPr>
                <w:rFonts w:hint="eastAsia" w:ascii="Times New Roman" w:hAnsi="Times New Roman" w:eastAsia="楷体"/>
                <w:sz w:val="24"/>
              </w:rPr>
              <w:t>万元，主要建设内容为：按照自治区农业农村厅社会事业促进处培育高素质农民项目计划，每年争取高素质农民培育任务120人，五年培育高素质农民600人次。围绕皮山县产业发展需求和农牧民意愿制定培训计划，以“走出去”的方式结合“理论+实训+观摩”开展高素质农民培育项目工作。</w:t>
            </w:r>
          </w:p>
          <w:p w14:paraId="6D9C0983">
            <w:pPr>
              <w:pStyle w:val="24"/>
              <w:spacing w:after="0" w:line="400" w:lineRule="exact"/>
              <w:ind w:left="0" w:leftChars="0" w:firstLine="482" w:firstLineChars="200"/>
              <w:rPr>
                <w:rFonts w:ascii="Times New Roman" w:hAnsi="Times New Roman" w:eastAsia="楷体"/>
                <w:b/>
                <w:sz w:val="24"/>
              </w:rPr>
            </w:pPr>
            <w:r>
              <w:rPr>
                <w:rFonts w:hint="eastAsia" w:ascii="Times New Roman" w:hAnsi="Times New Roman" w:eastAsia="楷体"/>
                <w:b/>
                <w:sz w:val="24"/>
              </w:rPr>
              <w:t>基层农技推广体系改革与建设项目：</w:t>
            </w:r>
            <w:r>
              <w:rPr>
                <w:rFonts w:hint="eastAsia" w:ascii="Times New Roman" w:hAnsi="Times New Roman" w:eastAsia="楷体"/>
                <w:sz w:val="24"/>
              </w:rPr>
              <w:t>总投资</w:t>
            </w:r>
            <w:r>
              <w:rPr>
                <w:rFonts w:ascii="Times New Roman" w:hAnsi="Times New Roman" w:eastAsia="楷体"/>
                <w:sz w:val="24"/>
              </w:rPr>
              <w:t>175</w:t>
            </w:r>
            <w:r>
              <w:rPr>
                <w:rFonts w:hint="eastAsia" w:ascii="Times New Roman" w:hAnsi="Times New Roman" w:eastAsia="楷体"/>
                <w:sz w:val="24"/>
              </w:rPr>
              <w:t>万元，主要建设内容为：围绕保障粮食安全和发展特色产业目标，遴选推介发布一批推广应用的主导品种和主推技术，每个项目县农业农村局示范推广1-2项，主推技术到位率达到95％以上。每年努力争取项目资金35万元以上，建设科技示范基地，推广新品种新技术，组织农业技术专业人员培训，提升干部能力。</w:t>
            </w:r>
          </w:p>
          <w:p w14:paraId="1798569B">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地膜科学使用回收项目：</w:t>
            </w:r>
            <w:r>
              <w:rPr>
                <w:rFonts w:hint="eastAsia" w:ascii="Times New Roman" w:hAnsi="Times New Roman" w:eastAsia="楷体"/>
                <w:sz w:val="24"/>
              </w:rPr>
              <w:t>总投资</w:t>
            </w:r>
            <w:r>
              <w:rPr>
                <w:rFonts w:ascii="Times New Roman" w:hAnsi="Times New Roman" w:eastAsia="楷体"/>
                <w:sz w:val="24"/>
              </w:rPr>
              <w:t>1800</w:t>
            </w:r>
            <w:r>
              <w:rPr>
                <w:rFonts w:hint="eastAsia" w:ascii="Times New Roman" w:hAnsi="Times New Roman" w:eastAsia="楷体"/>
                <w:sz w:val="24"/>
              </w:rPr>
              <w:t>万元，主要建设内容为：按照自治区农业农村厅地膜科学使用回收项目计划，在瓜菜等主要覆膜作物，推广使用0.012毫米加厚高强度地膜。在加工番茄、瓜类、甜菜、马铃薯、蔬菜、玉米、食用向日葵等适宜作物，按照适度集中原则，稳妥有序使用符合GB／T 35795-2017的全生物降解地膜。利用中央农业生态资源保护补助资金，每年申请地膜科学使用回收项目任务12万亩以上，项目资金360万元以上，废旧地膜回收率达到85％以上，按照每亩30元的标准，对推广使用加厚高强度地膜给予补助。</w:t>
            </w:r>
          </w:p>
        </w:tc>
      </w:tr>
    </w:tbl>
    <w:p w14:paraId="226F5C4A">
      <w:pPr>
        <w:pStyle w:val="4"/>
        <w:keepLines w:val="0"/>
        <w:topLinePunct/>
        <w:spacing w:before="0" w:after="0" w:line="540" w:lineRule="exact"/>
        <w:ind w:firstLine="590" w:firstLineChars="210"/>
        <w:rPr>
          <w:sz w:val="28"/>
          <w:szCs w:val="28"/>
        </w:rPr>
      </w:pPr>
      <w:bookmarkStart w:id="89" w:name="_Toc237987634"/>
      <w:r>
        <w:rPr>
          <w:rFonts w:hint="eastAsia"/>
          <w:sz w:val="28"/>
          <w:szCs w:val="28"/>
        </w:rPr>
        <w:t>（三）农机服务类</w:t>
      </w:r>
      <w:bookmarkEnd w:id="89"/>
    </w:p>
    <w:p w14:paraId="28875A18">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实施农机购置与应用补贴（含援疆资金配套）；落实农业机械报废更新补贴；引进推广新型智能农业机械；提升农机安全监管和服务能力。提升农业生产效率和机械化水平，减轻农民购机负担，推动农机装备升级。该类别项目共谋划4个项目，总投资5133万元。</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2860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517FF934">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w:t>
            </w:r>
            <w:r>
              <w:rPr>
                <w:rFonts w:ascii="Times New Roman" w:hAnsi="Times New Roman" w:eastAsia="楷体"/>
                <w:b/>
                <w:bCs/>
                <w:sz w:val="28"/>
                <w:szCs w:val="28"/>
              </w:rPr>
              <w:t>3</w:t>
            </w:r>
            <w:r>
              <w:rPr>
                <w:rFonts w:hint="eastAsia" w:ascii="Times New Roman" w:hAnsi="Times New Roman" w:eastAsia="楷体"/>
                <w:b/>
                <w:bCs/>
                <w:sz w:val="28"/>
                <w:szCs w:val="28"/>
              </w:rPr>
              <w:t>农机服务类重点项目</w:t>
            </w:r>
          </w:p>
        </w:tc>
      </w:tr>
      <w:tr w14:paraId="7135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1C4092CC">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农机购置与应用补贴项目：</w:t>
            </w:r>
            <w:r>
              <w:rPr>
                <w:rFonts w:hint="eastAsia" w:ascii="Times New Roman" w:hAnsi="Times New Roman" w:eastAsia="楷体"/>
                <w:sz w:val="24"/>
              </w:rPr>
              <w:t>总投资</w:t>
            </w:r>
            <w:r>
              <w:rPr>
                <w:rFonts w:ascii="Times New Roman" w:hAnsi="Times New Roman" w:eastAsia="楷体"/>
                <w:sz w:val="24"/>
              </w:rPr>
              <w:t>3033</w:t>
            </w:r>
            <w:r>
              <w:rPr>
                <w:rFonts w:hint="eastAsia" w:ascii="Times New Roman" w:hAnsi="Times New Roman" w:eastAsia="楷体"/>
                <w:sz w:val="24"/>
              </w:rPr>
              <w:t>万元，主要建设内容为：农机购置与应用补贴，一方面能提升农业生产效率，推动农业机械化、现代化进程；另一方面可减轻农民购机负担，增加农民收入，激发农民生产积极性，保障国家粮食安全与农产品有效供给，促进农业可持续发展。</w:t>
            </w:r>
          </w:p>
          <w:p w14:paraId="1AEEA8A3">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农业机械报废更新补贴项目：</w:t>
            </w:r>
            <w:r>
              <w:rPr>
                <w:rFonts w:hint="eastAsia" w:ascii="Times New Roman" w:hAnsi="Times New Roman" w:eastAsia="楷体"/>
                <w:sz w:val="24"/>
              </w:rPr>
              <w:t>总投资</w:t>
            </w:r>
            <w:r>
              <w:rPr>
                <w:rFonts w:ascii="Times New Roman" w:hAnsi="Times New Roman" w:eastAsia="楷体"/>
                <w:sz w:val="24"/>
              </w:rPr>
              <w:t>100</w:t>
            </w:r>
            <w:r>
              <w:rPr>
                <w:rFonts w:hint="eastAsia" w:ascii="Times New Roman" w:hAnsi="Times New Roman" w:eastAsia="楷体"/>
                <w:sz w:val="24"/>
              </w:rPr>
              <w:t>万元，主要建设内容为：农业机械报废更新补贴，落实农业机械报废更新补贴，既能加速老旧农机淘汰，推动农机装备升级，提升农业生产效率和质量；又能促进农机产业发展，带动市场消费，助力农业现代化与可持续发展。</w:t>
            </w:r>
          </w:p>
          <w:p w14:paraId="41E65EB7">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农业机械引进示范工程</w:t>
            </w:r>
            <w:r>
              <w:rPr>
                <w:rFonts w:hint="eastAsia" w:ascii="Times New Roman" w:hAnsi="Times New Roman" w:eastAsia="楷体"/>
                <w:sz w:val="24"/>
              </w:rPr>
              <w:t>：总投资1000万元，主要建设内容为：通过公开招商程序确定合作企业，引进新型采棉机械、节水灌溉机械、新型林果采摘机械、设施蔬菜自动采摘机械、设施蔬菜工厂化育苗自动机械、水产养殖机械、畜牧业用机械等新型智能化机械，开展引进、示范、改良工作，推动农业机械装备向智能化、高效化方向发展。</w:t>
            </w:r>
          </w:p>
          <w:p w14:paraId="35E57C06">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农业机械服务能力提升工程</w:t>
            </w:r>
            <w:r>
              <w:rPr>
                <w:rFonts w:hint="eastAsia" w:ascii="Times New Roman" w:hAnsi="Times New Roman" w:eastAsia="楷体"/>
                <w:sz w:val="24"/>
              </w:rPr>
              <w:t>：总投资1000万元，主要建设内容为：农机监理机构配齐配强农机安全监管专用车辆、移动检测设备、执法记录仪；推广使用农机监理APP，提升注册登记、检验、考试信息化水平；加强完善县级农机区域服务中心，每个中心配备2台以上移动维修服务车，建设标准化维修车间、配件库，全面提升农机安全监管和社会化服务能力。</w:t>
            </w:r>
          </w:p>
        </w:tc>
      </w:tr>
    </w:tbl>
    <w:p w14:paraId="1DC3AE3B">
      <w:pPr>
        <w:pStyle w:val="4"/>
        <w:keepLines w:val="0"/>
        <w:topLinePunct/>
        <w:spacing w:before="0" w:after="0" w:line="540" w:lineRule="exact"/>
        <w:ind w:firstLine="590" w:firstLineChars="210"/>
        <w:rPr>
          <w:sz w:val="28"/>
          <w:szCs w:val="28"/>
        </w:rPr>
      </w:pPr>
      <w:bookmarkStart w:id="90" w:name="_Toc237987635"/>
      <w:r>
        <w:rPr>
          <w:rFonts w:hint="eastAsia"/>
          <w:sz w:val="28"/>
          <w:szCs w:val="28"/>
        </w:rPr>
        <w:t>（四）数字技术智慧农业及农业品牌培育类</w:t>
      </w:r>
      <w:bookmarkEnd w:id="90"/>
    </w:p>
    <w:p w14:paraId="0B0948E9">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建设智能农机装备体系；创建设施农业智慧园区；实施设施生产防灾减灾工程；开展人才培养与技术培训；培育新型经营主体；建设智慧农业试点；实施特色农产品运输补贴；推进老旧设施农业大棚智能化改造；开展人工影响天气能力提升。推动智慧农业发展，提升生产效率和抗风险能力，培育现代化农业人才。该类别项目共谋划10个项目，总投资136</w:t>
      </w:r>
      <w:r>
        <w:rPr>
          <w:rFonts w:ascii="Times New Roman" w:hAnsi="Times New Roman" w:eastAsia="仿宋_GB2312"/>
          <w:kern w:val="2"/>
          <w:sz w:val="28"/>
          <w:szCs w:val="28"/>
        </w:rPr>
        <w:t>00</w:t>
      </w:r>
      <w:r>
        <w:rPr>
          <w:rFonts w:hint="eastAsia" w:ascii="Times New Roman" w:hAnsi="Times New Roman" w:eastAsia="仿宋_GB2312"/>
          <w:kern w:val="2"/>
          <w:sz w:val="28"/>
          <w:szCs w:val="28"/>
        </w:rPr>
        <w:t>万元。</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0E0B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50924FCA">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w:t>
            </w:r>
            <w:r>
              <w:rPr>
                <w:rFonts w:ascii="Times New Roman" w:hAnsi="Times New Roman" w:eastAsia="楷体"/>
                <w:b/>
                <w:bCs/>
                <w:sz w:val="28"/>
                <w:szCs w:val="28"/>
              </w:rPr>
              <w:t>4</w:t>
            </w:r>
            <w:r>
              <w:rPr>
                <w:rFonts w:hint="eastAsia" w:ascii="Times New Roman" w:hAnsi="Times New Roman" w:eastAsia="楷体"/>
                <w:b/>
                <w:bCs/>
                <w:sz w:val="28"/>
                <w:szCs w:val="28"/>
              </w:rPr>
              <w:t>数字技术、智慧农业及农业品牌培育类重点项目</w:t>
            </w:r>
          </w:p>
        </w:tc>
      </w:tr>
      <w:tr w14:paraId="4642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207BCB37">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皮山县智慧农业试点建设项目</w:t>
            </w:r>
            <w:r>
              <w:rPr>
                <w:rFonts w:hint="eastAsia" w:ascii="Times New Roman" w:hAnsi="Times New Roman" w:eastAsia="楷体"/>
                <w:sz w:val="24"/>
              </w:rPr>
              <w:t>：总投资2700万元，主要建设内容为：智慧农业试点建设面积4000亩，主要建设内容包括土地平整、灌溉排水工程和土壤改良、数字农业等、通过监控检测功能系统实时图像与视频监控功能，将传统农业转变为现代智慧农业.</w:t>
            </w:r>
          </w:p>
          <w:p w14:paraId="02F27BB9">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设施农业智慧园区创建项目</w:t>
            </w:r>
            <w:r>
              <w:rPr>
                <w:rFonts w:hint="eastAsia" w:ascii="Times New Roman" w:hAnsi="Times New Roman" w:eastAsia="楷体"/>
                <w:sz w:val="24"/>
              </w:rPr>
              <w:t>：总投资160万元，主要建设内容为：（1）设施农业园区智慧生产试验示范项目：在皮山县选取40座温室进行农业设施园区智慧生产试验示范，利用移动互联网、物联网、遥感和无线射频等技术，按照农作物生长指标要求，精确遥控农业设施自运行。硬件上配套监控设备、各类传感器、无人化设备、水肥一体设备以及设施大棚的其它硬件。软件上实现环境监测系统、智能环境控制系统、机器人、无人机、无人车控制系统等。（2）设施大棚地理信息建档项目：设施大棚进行实地测绘，进行内部参数量化，包括棚内土质信息、作物种类、作物产量等参数；建立农业设施资源档案数据处理系统，建立农业设施量化档案，提供空间纬度与时间纬度的基础数据，实现智能农机精准作业。</w:t>
            </w:r>
          </w:p>
          <w:p w14:paraId="129041A5">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智能装备与农机协同建设工程</w:t>
            </w:r>
            <w:r>
              <w:rPr>
                <w:rFonts w:hint="eastAsia" w:ascii="Times New Roman" w:hAnsi="Times New Roman" w:eastAsia="楷体"/>
                <w:sz w:val="24"/>
              </w:rPr>
              <w:t>：总投资500万元，主要建设内容为：采购各种满足生产的智能机械设备，旋耕机、除草机、起垄覆膜机、移栽机、打药机、采收机、智能轨道运输等，打造“能源自循环-装备智能化-作业协同化”智能装备体系。构建从能源供给、智能作业到低碳运输的全生命周期管理模式，为农业产业园区智能化改造提供可复制的智能装备解决方案。</w:t>
            </w:r>
          </w:p>
          <w:p w14:paraId="605B40D8">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设施生产防灾减灾工程</w:t>
            </w:r>
            <w:r>
              <w:rPr>
                <w:rFonts w:hint="eastAsia" w:ascii="Times New Roman" w:hAnsi="Times New Roman" w:eastAsia="楷体"/>
                <w:sz w:val="24"/>
              </w:rPr>
              <w:t>：总投资</w:t>
            </w:r>
            <w:r>
              <w:rPr>
                <w:rFonts w:ascii="Times New Roman" w:hAnsi="Times New Roman" w:eastAsia="楷体"/>
                <w:sz w:val="24"/>
              </w:rPr>
              <w:t>110</w:t>
            </w:r>
            <w:r>
              <w:rPr>
                <w:rFonts w:hint="eastAsia" w:ascii="Times New Roman" w:hAnsi="Times New Roman" w:eastAsia="楷体"/>
                <w:sz w:val="24"/>
              </w:rPr>
              <w:t>万元，主要建设内容为：一是在皮山县设</w:t>
            </w:r>
            <w:r>
              <w:rPr>
                <w:rFonts w:ascii="Times New Roman" w:hAnsi="Times New Roman" w:eastAsia="楷体"/>
                <w:sz w:val="24"/>
              </w:rPr>
              <w:t>1</w:t>
            </w:r>
            <w:r>
              <w:rPr>
                <w:rFonts w:hint="eastAsia" w:ascii="Times New Roman" w:hAnsi="Times New Roman" w:eastAsia="楷体"/>
                <w:sz w:val="24"/>
              </w:rPr>
              <w:t>个蔬菜病虫监测点，建病虫系统观察点（含</w:t>
            </w:r>
            <w:r>
              <w:rPr>
                <w:rFonts w:ascii="Times New Roman" w:hAnsi="Times New Roman" w:eastAsia="楷体"/>
                <w:sz w:val="24"/>
              </w:rPr>
              <w:t>2</w:t>
            </w:r>
            <w:r>
              <w:rPr>
                <w:rFonts w:hint="eastAsia" w:ascii="Times New Roman" w:hAnsi="Times New Roman" w:eastAsia="楷体"/>
                <w:sz w:val="24"/>
              </w:rPr>
              <w:t>亩观测田，配自动虫情观测灯、孢子捕捉仪），配备病虫检测实验仪器与监测工具；通过配备检测设施、制定防治方案、建立田间管理档案等，建有害生物预警监测系统体系。二是依托信息服务中心，建蔬菜灾害预警与应急控制中心，配套农药</w:t>
            </w:r>
            <w:r>
              <w:rPr>
                <w:rFonts w:ascii="Times New Roman" w:hAnsi="Times New Roman" w:eastAsia="楷体"/>
                <w:sz w:val="24"/>
              </w:rPr>
              <w:t>/</w:t>
            </w:r>
            <w:r>
              <w:rPr>
                <w:rFonts w:hint="eastAsia" w:ascii="Times New Roman" w:hAnsi="Times New Roman" w:eastAsia="楷体"/>
                <w:sz w:val="24"/>
              </w:rPr>
              <w:t>药械储备库、检验实验室、气象和病虫电视预报制作室、信息发布室、网络机房等硬件及仪器，配</w:t>
            </w:r>
            <w:r>
              <w:rPr>
                <w:rFonts w:ascii="Times New Roman" w:hAnsi="Times New Roman" w:eastAsia="楷体"/>
                <w:sz w:val="24"/>
              </w:rPr>
              <w:t>500m²</w:t>
            </w:r>
            <w:r>
              <w:rPr>
                <w:rFonts w:hint="eastAsia" w:ascii="Times New Roman" w:hAnsi="Times New Roman" w:eastAsia="楷体"/>
                <w:sz w:val="24"/>
              </w:rPr>
              <w:t>办公室。</w:t>
            </w:r>
          </w:p>
          <w:p w14:paraId="78162131">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人才培养与技术培训服务工程</w:t>
            </w:r>
            <w:r>
              <w:rPr>
                <w:rFonts w:hint="eastAsia" w:ascii="Times New Roman" w:hAnsi="Times New Roman" w:eastAsia="楷体"/>
                <w:sz w:val="24"/>
              </w:rPr>
              <w:t>：总投资360万元，主要建设内容为：一是设施农业从业者技术培训项目：培训6名设施蔬菜农技人员；年培训本地菜农200人次，到2030年培育本地蔬菜产业职业农民1000人次。采用集中培训，理论结合实操，约需60万元。二是设施产业人才引进工程：大力引进实用技术人才，2030年前引进10名技术骨干，确保每千亩基地至少1-2名懂蔬菜的专业干部，约需100万元。三是设施产业实训基地建设：在皮山县建500亩基地，辐射带动周边人员实地培训；乡（镇）可引蔬菜专业户建科技示范棚，约需200万元。</w:t>
            </w:r>
          </w:p>
          <w:p w14:paraId="714711D3">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设施农业生产新型经营主体培育项目</w:t>
            </w:r>
            <w:r>
              <w:rPr>
                <w:rFonts w:hint="eastAsia" w:ascii="Times New Roman" w:hAnsi="Times New Roman" w:eastAsia="楷体"/>
                <w:sz w:val="24"/>
              </w:rPr>
              <w:t>：总投资470万元，主要建设内容为：一是农户设施生产培育示范：“十五五”期间培育100户示范农户，带动周边发展蔬菜生产；重点培育已脱贫贫困户、边缘户、监测户种植温室拱棚蔬菜，实现农业内部稳定就业，约需200万元。二是种植大户设施生产培育示范：“十五五”期间培育15个蔬菜种植大户，凭借技术、资金优势扩大设施经营规模，领办或创办蔬菜专业合作社，发展订单生产，率先应用新品种、新技术、新设备，提高设施农业基础与科技水平，实现产销对接，约需150万元。三是蔬菜专业合作社建设项目：新建10个蔬菜专业合作社，引导菜农集中土地开展规模经营，在种子供应、生产技术、包装、销售等方面统一管理，提高组织化、规范化程度和市场竞争力，约需120万元</w:t>
            </w:r>
          </w:p>
          <w:p w14:paraId="7F9E03C0">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皮山县农产品运输补贴项目</w:t>
            </w:r>
            <w:r>
              <w:rPr>
                <w:rFonts w:hint="eastAsia" w:ascii="Times New Roman" w:hAnsi="Times New Roman" w:eastAsia="楷体"/>
                <w:sz w:val="24"/>
              </w:rPr>
              <w:t>：总投资2500万元，主要建设内容为：支持农产品物流体系建设，对在皮山县依法登记注册、从事农产品生产流通的各类经营主体，在通过电商、线上线下渠道销售农产品过程中产生的物流费用，按照统一标准、公开程序给予适当补贴，每年投入500万元，五年共计2500万元。</w:t>
            </w:r>
          </w:p>
          <w:p w14:paraId="4D7E370D">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皮山县老旧设施农业大棚提升改造及智能化建设项目</w:t>
            </w:r>
            <w:r>
              <w:rPr>
                <w:rFonts w:hint="eastAsia" w:ascii="Times New Roman" w:hAnsi="Times New Roman" w:eastAsia="楷体"/>
                <w:sz w:val="24"/>
              </w:rPr>
              <w:t>：总投资5000万元，主要建设内容为：对历年来各乡镇建设的设施农业大棚进行维修、棚膜及棉被进行更新；安装室外气象监测、土壤监测、病虫害监测、智能分拣、网上销售及数字监测等系统建设，通过物联网技术对大棚进行水肥一体化等能力提升；每年投入1000万元，五年共计5000万元。</w:t>
            </w:r>
          </w:p>
          <w:p w14:paraId="742731A6">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人工影响天气设备提升采购项目</w:t>
            </w:r>
            <w:r>
              <w:rPr>
                <w:rFonts w:hint="eastAsia" w:ascii="Times New Roman" w:hAnsi="Times New Roman" w:eastAsia="楷体"/>
                <w:sz w:val="24"/>
              </w:rPr>
              <w:t>：总投资1000万元，主要建设内容为：购置作业装备火箭弹等人工增雨设备采购，每年投入200万元，五年共计1000万元。</w:t>
            </w:r>
          </w:p>
          <w:p w14:paraId="4CB88570">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皮山县智慧牧业项目：</w:t>
            </w:r>
            <w:r>
              <w:rPr>
                <w:rFonts w:hint="eastAsia" w:ascii="Times New Roman" w:hAnsi="Times New Roman" w:eastAsia="楷体"/>
                <w:sz w:val="24"/>
              </w:rPr>
              <w:t>总投资800万元，主要建设内容为：示范推广智能管理系统、智能决策系统、信息采集系统、智能监控系统等。</w:t>
            </w:r>
          </w:p>
        </w:tc>
      </w:tr>
    </w:tbl>
    <w:p w14:paraId="6CD285D4">
      <w:pPr>
        <w:pStyle w:val="4"/>
        <w:keepLines w:val="0"/>
        <w:topLinePunct/>
        <w:spacing w:before="0" w:after="0" w:line="540" w:lineRule="exact"/>
        <w:ind w:firstLine="590" w:firstLineChars="210"/>
        <w:rPr>
          <w:sz w:val="28"/>
          <w:szCs w:val="28"/>
        </w:rPr>
      </w:pPr>
      <w:bookmarkStart w:id="91" w:name="_Toc237987636"/>
      <w:r>
        <w:rPr>
          <w:rFonts w:hint="eastAsia"/>
          <w:sz w:val="28"/>
          <w:szCs w:val="28"/>
        </w:rPr>
        <w:t>（五）农作物现代提升工程类</w:t>
      </w:r>
      <w:bookmarkEnd w:id="91"/>
    </w:p>
    <w:p w14:paraId="6FC99F84">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开展农作物品种评比、展示、试验；进行新品种筛选、测试及鉴定；组织观摩培训。提升地区品种筛选与鉴定能力，为良种推广提供科学依据。该类别项目共谋划</w:t>
      </w:r>
      <w:r>
        <w:rPr>
          <w:rFonts w:ascii="Times New Roman" w:hAnsi="Times New Roman" w:eastAsia="仿宋_GB2312"/>
          <w:kern w:val="2"/>
          <w:sz w:val="28"/>
          <w:szCs w:val="28"/>
        </w:rPr>
        <w:t>1</w:t>
      </w:r>
      <w:r>
        <w:rPr>
          <w:rFonts w:hint="eastAsia" w:ascii="Times New Roman" w:hAnsi="Times New Roman" w:eastAsia="仿宋_GB2312"/>
          <w:kern w:val="2"/>
          <w:sz w:val="28"/>
          <w:szCs w:val="28"/>
        </w:rPr>
        <w:t>个项目，总投资</w:t>
      </w:r>
      <w:r>
        <w:rPr>
          <w:rFonts w:ascii="Times New Roman" w:hAnsi="Times New Roman" w:eastAsia="仿宋_GB2312"/>
          <w:kern w:val="2"/>
          <w:sz w:val="28"/>
          <w:szCs w:val="28"/>
        </w:rPr>
        <w:t>40</w:t>
      </w:r>
      <w:r>
        <w:rPr>
          <w:rFonts w:hint="eastAsia" w:ascii="Times New Roman" w:hAnsi="Times New Roman" w:eastAsia="仿宋_GB2312"/>
          <w:kern w:val="2"/>
          <w:sz w:val="28"/>
          <w:szCs w:val="28"/>
        </w:rPr>
        <w:t>万元。</w:t>
      </w:r>
    </w:p>
    <w:p w14:paraId="5EC6AD44">
      <w:pPr>
        <w:pStyle w:val="3"/>
        <w:widowControl/>
        <w:spacing w:before="0" w:after="0" w:line="600" w:lineRule="exact"/>
        <w:ind w:firstLine="562" w:firstLineChars="200"/>
        <w:rPr>
          <w:rFonts w:ascii="Arial" w:hAnsi="Arial" w:eastAsia="黑体"/>
          <w:bCs w:val="0"/>
          <w:kern w:val="0"/>
          <w:sz w:val="28"/>
          <w:szCs w:val="20"/>
        </w:rPr>
      </w:pPr>
      <w:bookmarkStart w:id="92" w:name="_Toc237987637"/>
      <w:r>
        <w:rPr>
          <w:rFonts w:hint="eastAsia" w:ascii="Arial" w:hAnsi="Arial" w:eastAsia="黑体"/>
          <w:bCs w:val="0"/>
          <w:kern w:val="0"/>
          <w:sz w:val="28"/>
          <w:szCs w:val="20"/>
        </w:rPr>
        <w:t>二、畜牧产业类</w:t>
      </w:r>
      <w:bookmarkEnd w:id="92"/>
    </w:p>
    <w:p w14:paraId="73D3D3D6">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包括畜牧业扩产能、优品种、防疫病、重饲养，动物卫生监督能力提升等，该类别项目共谋划30个项目，总投资约6.79亿元。</w:t>
      </w:r>
    </w:p>
    <w:p w14:paraId="46546EDA">
      <w:pPr>
        <w:pStyle w:val="4"/>
        <w:keepLines w:val="0"/>
        <w:topLinePunct/>
        <w:spacing w:before="0" w:after="0" w:line="540" w:lineRule="exact"/>
        <w:ind w:firstLine="590" w:firstLineChars="210"/>
        <w:rPr>
          <w:sz w:val="28"/>
          <w:szCs w:val="28"/>
        </w:rPr>
      </w:pPr>
      <w:bookmarkStart w:id="93" w:name="_Toc237987638"/>
      <w:r>
        <w:rPr>
          <w:rFonts w:hint="eastAsia"/>
          <w:sz w:val="28"/>
          <w:szCs w:val="28"/>
        </w:rPr>
        <w:t>（一）畜牧业扩产能类</w:t>
      </w:r>
      <w:bookmarkEnd w:id="93"/>
    </w:p>
    <w:p w14:paraId="721C142B">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对农户购买能繁母牛、母羊、母驴、母骆驼等进行奖补；对自繁自育的母畜进行奖补；支持养殖圈舍设施改造；推动特色红羊、和田青驴产业发展。壮大群众养殖规模，激发养殖积极性，提高群众增收能力。该类别项目共谋划11个项目，总投资36175万元。</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7C72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2E7987D8">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w:t>
            </w:r>
            <w:r>
              <w:rPr>
                <w:rFonts w:ascii="Times New Roman" w:hAnsi="Times New Roman" w:eastAsia="楷体"/>
                <w:b/>
                <w:bCs/>
                <w:sz w:val="28"/>
                <w:szCs w:val="28"/>
              </w:rPr>
              <w:t>5</w:t>
            </w:r>
            <w:r>
              <w:rPr>
                <w:rFonts w:hint="eastAsia" w:ascii="Times New Roman" w:hAnsi="Times New Roman" w:eastAsia="楷体"/>
                <w:b/>
                <w:bCs/>
                <w:sz w:val="28"/>
                <w:szCs w:val="28"/>
              </w:rPr>
              <w:t>畜牧业扩产能类重点项目</w:t>
            </w:r>
          </w:p>
        </w:tc>
      </w:tr>
      <w:tr w14:paraId="29C81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779CD52C">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产业到户奖补能繁母牛项目：</w:t>
            </w:r>
            <w:r>
              <w:rPr>
                <w:rFonts w:hint="eastAsia" w:ascii="Times New Roman" w:hAnsi="Times New Roman" w:eastAsia="楷体"/>
                <w:sz w:val="24"/>
              </w:rPr>
              <w:t>总投资15694万元，主要建设内容为：对符合条件的养殖户给予定额补助，购置母牛每头补助4000元。</w:t>
            </w:r>
          </w:p>
          <w:p w14:paraId="74C4641F">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产业到户奖补自繁自育母牛项目：</w:t>
            </w:r>
            <w:r>
              <w:rPr>
                <w:rFonts w:hint="eastAsia" w:ascii="Times New Roman" w:hAnsi="Times New Roman" w:eastAsia="楷体"/>
                <w:sz w:val="24"/>
              </w:rPr>
              <w:t>总投资</w:t>
            </w:r>
            <w:r>
              <w:rPr>
                <w:rFonts w:ascii="Times New Roman" w:hAnsi="Times New Roman" w:eastAsia="楷体"/>
                <w:sz w:val="24"/>
              </w:rPr>
              <w:t>4950</w:t>
            </w:r>
            <w:r>
              <w:rPr>
                <w:rFonts w:hint="eastAsia" w:ascii="Times New Roman" w:hAnsi="Times New Roman" w:eastAsia="楷体"/>
                <w:sz w:val="24"/>
              </w:rPr>
              <w:t>万元，主要建设内容为：对符合条件的养殖户给予定额补助，自繁自育母牛每头补助3000元。</w:t>
            </w:r>
          </w:p>
          <w:p w14:paraId="28D5B94E">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产业到户奖补新增能繁母羊项目：</w:t>
            </w:r>
            <w:r>
              <w:rPr>
                <w:rFonts w:hint="eastAsia" w:ascii="Times New Roman" w:hAnsi="Times New Roman" w:eastAsia="楷体"/>
                <w:sz w:val="24"/>
              </w:rPr>
              <w:t>总投资840万元，主要建设内容为：对符合条件的养殖户给予定额补助，购置母羊每只补助400元。</w:t>
            </w:r>
          </w:p>
          <w:p w14:paraId="1BC3473B">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产业到户奖补自繁自育母羊项目</w:t>
            </w:r>
            <w:r>
              <w:rPr>
                <w:rFonts w:hint="eastAsia" w:ascii="Times New Roman" w:hAnsi="Times New Roman" w:eastAsia="楷体"/>
                <w:sz w:val="24"/>
              </w:rPr>
              <w:t>：总投资8159.7万元，主要建设内容为：对符合条件的养殖户给予定额补助，自繁自育母羊每只补助300元。</w:t>
            </w:r>
          </w:p>
          <w:p w14:paraId="51EC1DD6">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产业到户奖补新增能繁母驴项目：</w:t>
            </w:r>
            <w:r>
              <w:rPr>
                <w:rFonts w:hint="eastAsia" w:ascii="Times New Roman" w:hAnsi="Times New Roman" w:eastAsia="楷体"/>
                <w:sz w:val="24"/>
              </w:rPr>
              <w:t>总投资</w:t>
            </w:r>
            <w:r>
              <w:rPr>
                <w:rFonts w:ascii="Times New Roman" w:hAnsi="Times New Roman" w:eastAsia="楷体"/>
                <w:sz w:val="24"/>
              </w:rPr>
              <w:t>506</w:t>
            </w:r>
            <w:r>
              <w:rPr>
                <w:rFonts w:hint="eastAsia" w:ascii="Times New Roman" w:hAnsi="Times New Roman" w:eastAsia="楷体"/>
                <w:sz w:val="24"/>
              </w:rPr>
              <w:t>万元，主要建设内容为：对符合条件的养殖户给予定额补助，购置母驴每头补助4000元。</w:t>
            </w:r>
          </w:p>
          <w:p w14:paraId="40A71B45">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产业到户奖补自繁新增母驴项目：</w:t>
            </w:r>
            <w:r>
              <w:rPr>
                <w:rFonts w:hint="eastAsia" w:ascii="Times New Roman" w:hAnsi="Times New Roman" w:eastAsia="楷体"/>
                <w:sz w:val="24"/>
              </w:rPr>
              <w:t>总投资</w:t>
            </w:r>
            <w:r>
              <w:rPr>
                <w:rFonts w:ascii="Times New Roman" w:hAnsi="Times New Roman" w:eastAsia="楷体"/>
                <w:sz w:val="24"/>
              </w:rPr>
              <w:t>90</w:t>
            </w:r>
            <w:r>
              <w:rPr>
                <w:rFonts w:hint="eastAsia" w:ascii="Times New Roman" w:hAnsi="Times New Roman" w:eastAsia="楷体"/>
                <w:sz w:val="24"/>
              </w:rPr>
              <w:t>万元，主要建设内容为：对符合条件的养殖户给予定额补助，自繁新增母驴每头补助3000元。</w:t>
            </w:r>
          </w:p>
          <w:p w14:paraId="1AAA7239">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产业到户奖补新增能繁母骆驼项目：</w:t>
            </w:r>
            <w:r>
              <w:rPr>
                <w:rFonts w:hint="eastAsia" w:ascii="Times New Roman" w:hAnsi="Times New Roman" w:eastAsia="楷体"/>
                <w:sz w:val="24"/>
              </w:rPr>
              <w:t>总投资</w:t>
            </w:r>
            <w:r>
              <w:rPr>
                <w:rFonts w:ascii="Times New Roman" w:hAnsi="Times New Roman" w:eastAsia="楷体"/>
                <w:sz w:val="24"/>
              </w:rPr>
              <w:t>719</w:t>
            </w:r>
            <w:r>
              <w:rPr>
                <w:rFonts w:hint="eastAsia" w:ascii="Times New Roman" w:hAnsi="Times New Roman" w:eastAsia="楷体"/>
                <w:sz w:val="24"/>
              </w:rPr>
              <w:t>.2万元，主要建设内容为：对符合条件的养殖户给予定额补助，购置母骆驼每头补助4000元。</w:t>
            </w:r>
          </w:p>
          <w:p w14:paraId="74445826">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产业到户奖补鸡鸭鹅鹧鸪养殖项目：</w:t>
            </w:r>
            <w:r>
              <w:rPr>
                <w:rFonts w:hint="eastAsia" w:ascii="Times New Roman" w:hAnsi="Times New Roman" w:eastAsia="楷体"/>
                <w:sz w:val="24"/>
              </w:rPr>
              <w:t>总投资</w:t>
            </w:r>
            <w:r>
              <w:rPr>
                <w:rFonts w:ascii="Times New Roman" w:hAnsi="Times New Roman" w:eastAsia="楷体"/>
                <w:sz w:val="24"/>
              </w:rPr>
              <w:t>23</w:t>
            </w:r>
            <w:r>
              <w:rPr>
                <w:rFonts w:hint="eastAsia" w:ascii="Times New Roman" w:hAnsi="Times New Roman" w:eastAsia="楷体"/>
                <w:sz w:val="24"/>
              </w:rPr>
              <w:t xml:space="preserve">万元，主要建设内容为：对符合条件的养殖户给予定额补助，购买鸡鸭鹅每只补助10元，共计23万元。 </w:t>
            </w:r>
          </w:p>
          <w:p w14:paraId="3840D080">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产业到户奖补肉鸽养殖项目</w:t>
            </w:r>
            <w:r>
              <w:rPr>
                <w:rFonts w:hint="eastAsia" w:ascii="Times New Roman" w:hAnsi="Times New Roman" w:eastAsia="楷体"/>
                <w:sz w:val="24"/>
              </w:rPr>
              <w:t>：总投资</w:t>
            </w:r>
            <w:r>
              <w:rPr>
                <w:rFonts w:ascii="Times New Roman" w:hAnsi="Times New Roman" w:eastAsia="楷体"/>
                <w:sz w:val="24"/>
              </w:rPr>
              <w:t>6</w:t>
            </w:r>
            <w:r>
              <w:rPr>
                <w:rFonts w:hint="eastAsia" w:ascii="Times New Roman" w:hAnsi="Times New Roman" w:eastAsia="楷体"/>
                <w:sz w:val="24"/>
              </w:rPr>
              <w:t xml:space="preserve">万元，主要建设内容为：对符合条件的养殖户给予定额补助，购买鸽子每羽补助3元，共计6万元。 </w:t>
            </w:r>
          </w:p>
          <w:p w14:paraId="0EA43454">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产业到户奖补养殖圈舍设施改造建设项目：</w:t>
            </w:r>
            <w:r>
              <w:rPr>
                <w:rFonts w:hint="eastAsia" w:ascii="Times New Roman" w:hAnsi="Times New Roman" w:eastAsia="楷体"/>
                <w:sz w:val="24"/>
              </w:rPr>
              <w:t>总投资187.1万元，主要建设内容为：对符合条件的养殖户给予定额补助，改扩建养殖圈舍1871座，每座补助1000元，共计187.1万元。</w:t>
            </w:r>
          </w:p>
          <w:p w14:paraId="59B1B955">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皮山县特色红羊、和田青驴到户奖补项目</w:t>
            </w:r>
            <w:r>
              <w:rPr>
                <w:rFonts w:hint="eastAsia" w:ascii="Times New Roman" w:hAnsi="Times New Roman" w:eastAsia="楷体"/>
                <w:sz w:val="24"/>
              </w:rPr>
              <w:t>：总投资5000万元，主要建设内容为：对从具有种畜禽生产经营许可证的合法种畜场购置BB型能繁育母红羊及和田青驴的养殖户给予50%补助，红羊每只不超过2000元、和田青驴每头不超过5000元，养殖周期不得少于2年，扩大红羊、和田青驴繁育，提高农民收入；每年计划补助5000只/头，补助金额1000万元。</w:t>
            </w:r>
          </w:p>
        </w:tc>
      </w:tr>
    </w:tbl>
    <w:p w14:paraId="4015CF66">
      <w:pPr>
        <w:pStyle w:val="4"/>
        <w:keepLines w:val="0"/>
        <w:topLinePunct/>
        <w:spacing w:before="0" w:after="0" w:line="540" w:lineRule="exact"/>
        <w:ind w:firstLine="590" w:firstLineChars="210"/>
        <w:rPr>
          <w:sz w:val="28"/>
          <w:szCs w:val="28"/>
        </w:rPr>
      </w:pPr>
      <w:bookmarkStart w:id="94" w:name="_Toc237987639"/>
      <w:r>
        <w:rPr>
          <w:rFonts w:hint="eastAsia"/>
          <w:sz w:val="28"/>
          <w:szCs w:val="28"/>
        </w:rPr>
        <w:t>（二）畜牧业优品种类</w:t>
      </w:r>
      <w:bookmarkEnd w:id="94"/>
    </w:p>
    <w:p w14:paraId="3DC62B82">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培育“皮山红羊”和“昆仑玉鹅”新品种；建设肉羊育种创新中心；建设自治区级畜禽遗传资源保种场；实施畜牧良种补贴；推进特色畜禽产业提纯增壮。巩固畜牧业产业基础，提升良种覆盖率，促进畜牧业高质量发展。该类别项目共谋划6个项目，总投资9975万元。</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2B2B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2C09681B">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w:t>
            </w:r>
            <w:r>
              <w:rPr>
                <w:rFonts w:ascii="Times New Roman" w:hAnsi="Times New Roman" w:eastAsia="楷体"/>
                <w:b/>
                <w:bCs/>
                <w:sz w:val="28"/>
                <w:szCs w:val="28"/>
              </w:rPr>
              <w:t>6</w:t>
            </w:r>
            <w:r>
              <w:rPr>
                <w:rFonts w:hint="eastAsia" w:ascii="Times New Roman" w:hAnsi="Times New Roman" w:eastAsia="楷体"/>
                <w:b/>
                <w:bCs/>
                <w:sz w:val="28"/>
                <w:szCs w:val="28"/>
              </w:rPr>
              <w:t>畜牧业优品种类重点项目</w:t>
            </w:r>
          </w:p>
        </w:tc>
      </w:tr>
      <w:tr w14:paraId="2721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041BC056">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皮山县皮山红羊新品种培育项目：</w:t>
            </w:r>
            <w:r>
              <w:rPr>
                <w:rFonts w:hint="eastAsia" w:ascii="Times New Roman" w:hAnsi="Times New Roman" w:eastAsia="楷体"/>
                <w:sz w:val="24"/>
              </w:rPr>
              <w:t>总投资1100万元，主要建设内容为：①年检测多胎基因10000只，组建育种核心群7000只，胎次产羔率达到160%。②构建起智能化选种技术创新平台和种羊培育技术支撑服务平台。③建立表型数据库和基因组数据库，开展遗传评估，制定选种选配方案等。每年申请投资220万元，五年累计投资1100万元。</w:t>
            </w:r>
          </w:p>
          <w:p w14:paraId="63D1E0D9">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皮山县昆仑玉鹅肉鹅配套系培育项目：</w:t>
            </w:r>
            <w:r>
              <w:rPr>
                <w:rFonts w:hint="eastAsia" w:ascii="Times New Roman" w:hAnsi="Times New Roman" w:eastAsia="楷体"/>
                <w:sz w:val="24"/>
              </w:rPr>
              <w:t xml:space="preserve">总投资750万元，主要建设内容为：①完成至少3个品种基础群建设，每个品种基础群数量不低于2000只；②构建良种繁育体系，设立祖代场1个，存栏不低于5000套；③完成选育舍改造，做到选育群种鹅单笼饲养；④完成“鹅品系选育技术操作”、“杂交繁育体系”等育种技术培训。每年申请投资150万元，五年累计投资750万元。 </w:t>
            </w:r>
          </w:p>
          <w:p w14:paraId="605B5B58">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皮山县肉羊育种创新项目：</w:t>
            </w:r>
            <w:r>
              <w:rPr>
                <w:rFonts w:hint="eastAsia" w:ascii="Times New Roman" w:hAnsi="Times New Roman" w:eastAsia="楷体"/>
                <w:sz w:val="24"/>
              </w:rPr>
              <w:t>总投资2500万元，主要建设内容为：通过公开竞争程序择优确定实施主体，新建羊育种中心1座，建设标准化种畜禽棚舍、育种实验室等土建工程，购置配套性能测定、疫病监测净化、胚胎移植等仪器设备1批，购置完善育种创新、标准化繁种、科技推广等方面设施装备1批。</w:t>
            </w:r>
          </w:p>
          <w:p w14:paraId="445F9157">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自治区级畜禽遗传资源保种场项目：</w:t>
            </w:r>
            <w:r>
              <w:rPr>
                <w:rFonts w:hint="eastAsia" w:ascii="Times New Roman" w:hAnsi="Times New Roman" w:eastAsia="楷体"/>
                <w:sz w:val="24"/>
              </w:rPr>
              <w:t xml:space="preserve">总投资125万元，主要建设内容为：开展皮山红羊保种群体保留510只。按照自治区畜禽遗传资源保种工作要求做好各项测定工作。做好保种群体的纯种性与原始性。配套附属设施、配套育种、保种工作所需的仪器设备。 </w:t>
            </w:r>
          </w:p>
          <w:p w14:paraId="5D98D4C2">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皮山县畜牧良种补贴项目：</w:t>
            </w:r>
            <w:r>
              <w:rPr>
                <w:rFonts w:hint="eastAsia" w:ascii="Times New Roman" w:hAnsi="Times New Roman" w:eastAsia="楷体"/>
                <w:sz w:val="24"/>
              </w:rPr>
              <w:t>总投资500万元，主要建设内容为：每年申请中央农业生产发展资金100万元，对农牧民养殖户（合作社）、联合育种单位、种畜场从具有生产经营资质的种畜场购买种公羊、新增核心群种母羊按照种公羊1000元/只、种母羊500元/只的标准给与补贴。对开展人工授精的肉牛养殖户（场、小区）使用肉牛冷冻精液改良能繁母牛的给予补助，每头能繁母牛每年补贴2剂冻精，每剂冻精补助不高于20元。</w:t>
            </w:r>
          </w:p>
          <w:p w14:paraId="5CCA9232">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皮山县特色畜禽产业提纯增壮建设项目：</w:t>
            </w:r>
            <w:r>
              <w:rPr>
                <w:rFonts w:hint="eastAsia" w:ascii="Times New Roman" w:hAnsi="Times New Roman" w:eastAsia="楷体"/>
                <w:sz w:val="24"/>
              </w:rPr>
              <w:t>总投资5000万元，主要建设内容为：围绕皮山红羊、和田羊、和田青驴等优质产业，开展保种繁育、提纯增壮，建立种源保护区等工程；每年投入1000万元，持续扩大优质特色畜禽规模，提高农民收入。</w:t>
            </w:r>
          </w:p>
        </w:tc>
      </w:tr>
    </w:tbl>
    <w:p w14:paraId="706EF2BD">
      <w:pPr>
        <w:pStyle w:val="4"/>
        <w:keepLines w:val="0"/>
        <w:topLinePunct/>
        <w:spacing w:before="0" w:after="0" w:line="540" w:lineRule="exact"/>
        <w:ind w:firstLine="590" w:firstLineChars="210"/>
        <w:rPr>
          <w:sz w:val="28"/>
          <w:szCs w:val="28"/>
        </w:rPr>
      </w:pPr>
      <w:bookmarkStart w:id="95" w:name="_Toc237987640"/>
      <w:r>
        <w:rPr>
          <w:rFonts w:hint="eastAsia"/>
          <w:sz w:val="28"/>
          <w:szCs w:val="28"/>
        </w:rPr>
        <w:t>（三）畜牧业防疫病类</w:t>
      </w:r>
      <w:bookmarkEnd w:id="95"/>
    </w:p>
    <w:p w14:paraId="748C3DE0">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 xml:space="preserve">推进畜禽粪污资源化利用整县项目；建设边境动物疫病检测站；开展牲畜常见病防治社会化服务。提升动物疫病防控能力，实现粪污资源化利用，保障畜牧业健康发展。该类别项目共谋划3个项目，总投资6827万元。 </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7215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4A4FE63F">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w:t>
            </w:r>
            <w:r>
              <w:rPr>
                <w:rFonts w:ascii="Times New Roman" w:hAnsi="Times New Roman" w:eastAsia="楷体"/>
                <w:b/>
                <w:bCs/>
                <w:sz w:val="28"/>
                <w:szCs w:val="28"/>
              </w:rPr>
              <w:t xml:space="preserve">7 </w:t>
            </w:r>
            <w:r>
              <w:rPr>
                <w:rFonts w:hint="eastAsia" w:ascii="Times New Roman" w:hAnsi="Times New Roman" w:eastAsia="楷体"/>
                <w:b/>
                <w:bCs/>
                <w:sz w:val="28"/>
                <w:szCs w:val="28"/>
              </w:rPr>
              <w:t>畜牧业防疫病类重点项目</w:t>
            </w:r>
          </w:p>
        </w:tc>
      </w:tr>
      <w:tr w14:paraId="0224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47F1C560">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皮山县畜禽粪污资源化利用整县推进项目：</w:t>
            </w:r>
            <w:r>
              <w:rPr>
                <w:rFonts w:hint="eastAsia" w:ascii="Times New Roman" w:hAnsi="Times New Roman" w:eastAsia="楷体"/>
                <w:sz w:val="24"/>
              </w:rPr>
              <w:t>总投资6000万元，主要建设内容为：建设集中养殖点病死畜禽无害化处理及粪污收集处理点6座；分别在每个养殖点建设1座库容10吨冷冻收集站；.收集站辐射半径30公里范围内的行政村配备病死动物收储柜300个；采购10吨位冷冻运输车2辆；发酵池、存储池、污水氧化池及其附属用房、相关设备等。</w:t>
            </w:r>
          </w:p>
          <w:p w14:paraId="38D3D0D7">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皮山县边境动物疫病检测站建设项目：</w:t>
            </w:r>
            <w:r>
              <w:rPr>
                <w:rFonts w:hint="eastAsia" w:ascii="Times New Roman" w:hAnsi="Times New Roman" w:eastAsia="楷体"/>
                <w:sz w:val="24"/>
              </w:rPr>
              <w:t>总投资50万元，主要建设内容为：购置PCR仪、生物安全柜、电泳仪、温箱、冰箱、离心机、酶标仪、移液器、振荡器、高压灭菌器等实验设备。</w:t>
            </w:r>
          </w:p>
          <w:p w14:paraId="0CD311D8">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牲畜常见病防治社会化服务项目：</w:t>
            </w:r>
            <w:r>
              <w:rPr>
                <w:rFonts w:hint="eastAsia" w:ascii="Times New Roman" w:hAnsi="Times New Roman" w:eastAsia="楷体"/>
                <w:sz w:val="24"/>
              </w:rPr>
              <w:t>总投资777万元，主要建设内容为：计划为38845低收入户牲畜常见病防治社会化服务，每户补助200元。</w:t>
            </w:r>
          </w:p>
        </w:tc>
      </w:tr>
    </w:tbl>
    <w:p w14:paraId="05E85141">
      <w:pPr>
        <w:pStyle w:val="4"/>
        <w:keepLines w:val="0"/>
        <w:topLinePunct/>
        <w:spacing w:before="0" w:after="0" w:line="540" w:lineRule="exact"/>
        <w:ind w:firstLine="590" w:firstLineChars="210"/>
        <w:rPr>
          <w:sz w:val="28"/>
          <w:szCs w:val="28"/>
        </w:rPr>
      </w:pPr>
      <w:bookmarkStart w:id="96" w:name="_Toc237987641"/>
      <w:r>
        <w:rPr>
          <w:rFonts w:hint="eastAsia"/>
          <w:sz w:val="28"/>
          <w:szCs w:val="28"/>
        </w:rPr>
        <w:t>（四）畜牧业重饲养类</w:t>
      </w:r>
      <w:bookmarkEnd w:id="96"/>
    </w:p>
    <w:p w14:paraId="4A093C04">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实施粮改饲项目，落实第四轮草原生态保护补助奖励政策；支持青贮窖建设；实施饲草料补助；改造盐碱鱼塘；建设现代设施渔业。保障饲草料供应，改善养殖条件，促进草畜平衡，发展现代渔业。该类别项目共谋划</w:t>
      </w:r>
      <w:r>
        <w:rPr>
          <w:rFonts w:ascii="Times New Roman" w:hAnsi="Times New Roman" w:eastAsia="仿宋_GB2312"/>
          <w:kern w:val="2"/>
          <w:sz w:val="28"/>
          <w:szCs w:val="28"/>
        </w:rPr>
        <w:t>6</w:t>
      </w:r>
      <w:r>
        <w:rPr>
          <w:rFonts w:hint="eastAsia" w:ascii="Times New Roman" w:hAnsi="Times New Roman" w:eastAsia="仿宋_GB2312"/>
          <w:kern w:val="2"/>
          <w:sz w:val="28"/>
          <w:szCs w:val="28"/>
        </w:rPr>
        <w:t>个项目，总投资13949.5万元。</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3525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4E3A4E89">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w:t>
            </w:r>
            <w:r>
              <w:rPr>
                <w:rFonts w:ascii="Times New Roman" w:hAnsi="Times New Roman" w:eastAsia="楷体"/>
                <w:b/>
                <w:bCs/>
                <w:sz w:val="28"/>
                <w:szCs w:val="28"/>
              </w:rPr>
              <w:t xml:space="preserve">8 </w:t>
            </w:r>
            <w:r>
              <w:rPr>
                <w:rFonts w:hint="eastAsia" w:ascii="Times New Roman" w:hAnsi="Times New Roman" w:eastAsia="楷体"/>
                <w:b/>
                <w:bCs/>
                <w:sz w:val="28"/>
                <w:szCs w:val="28"/>
              </w:rPr>
              <w:t>畜牧业重饲养类重点项目</w:t>
            </w:r>
          </w:p>
        </w:tc>
      </w:tr>
      <w:tr w14:paraId="3AE3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1BAF1D97">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皮山县粮改饲项目</w:t>
            </w:r>
            <w:r>
              <w:rPr>
                <w:rFonts w:hint="eastAsia" w:ascii="Times New Roman" w:hAnsi="Times New Roman" w:eastAsia="楷体"/>
                <w:sz w:val="24"/>
              </w:rPr>
              <w:t>：总投资500万元，主要建设内容为：每年申请中央农业生产发展资金100万元，按照国家和自治区畜牧良种补贴、粮改饲等项目管理规定，对符合申报条件的家畜养殖场（户）、企业、农民合作社，压窖的全株青贮玉米、苜蓿、甜高粱等优质饲草青贮，按照每吨补助不超过50元的标准给与补贴。</w:t>
            </w:r>
          </w:p>
          <w:p w14:paraId="18197BF7">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皮山县第四轮草原生态保护补助奖励项目：</w:t>
            </w:r>
            <w:r>
              <w:rPr>
                <w:rFonts w:hint="eastAsia" w:ascii="Times New Roman" w:hAnsi="Times New Roman" w:eastAsia="楷体"/>
                <w:sz w:val="24"/>
              </w:rPr>
              <w:t>总投资</w:t>
            </w:r>
            <w:r>
              <w:rPr>
                <w:rFonts w:hint="eastAsia" w:ascii="Times New Roman" w:hAnsi="Times New Roman" w:eastAsia="楷体"/>
                <w:sz w:val="24"/>
              </w:rPr>
              <w:tab/>
            </w:r>
            <w:r>
              <w:rPr>
                <w:rFonts w:hint="eastAsia" w:ascii="Times New Roman" w:hAnsi="Times New Roman" w:eastAsia="楷体"/>
                <w:sz w:val="24"/>
              </w:rPr>
              <w:t>11257.5万元，主要建设内容为：按照禁牧草原6元/亩、草畜平衡2.5元/亩的补贴标准，实施草原禁牧面积531万亩，草畜平衡面积154万亩。</w:t>
            </w:r>
          </w:p>
          <w:p w14:paraId="519A5B37">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产业到户奖补青贮窖建设项目：</w:t>
            </w:r>
            <w:r>
              <w:rPr>
                <w:rFonts w:hint="eastAsia" w:ascii="Times New Roman" w:hAnsi="Times New Roman" w:eastAsia="楷体"/>
                <w:sz w:val="24"/>
              </w:rPr>
              <w:t>总投资</w:t>
            </w:r>
            <w:r>
              <w:rPr>
                <w:rFonts w:hint="eastAsia" w:ascii="Times New Roman" w:hAnsi="Times New Roman" w:eastAsia="楷体"/>
                <w:sz w:val="24"/>
              </w:rPr>
              <w:tab/>
            </w:r>
            <w:r>
              <w:rPr>
                <w:rFonts w:hint="eastAsia" w:ascii="Times New Roman" w:hAnsi="Times New Roman" w:eastAsia="楷体"/>
                <w:sz w:val="24"/>
              </w:rPr>
              <w:t>1200万元，主要建设内容为：新建青贮窖1.2万座，每座补助1000元，共计1200万元。.</w:t>
            </w:r>
          </w:p>
          <w:p w14:paraId="30EA1AD1">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产业到户奖补饲草料项目</w:t>
            </w:r>
            <w:r>
              <w:rPr>
                <w:rFonts w:hint="eastAsia" w:ascii="Times New Roman" w:hAnsi="Times New Roman" w:eastAsia="楷体"/>
                <w:sz w:val="24"/>
              </w:rPr>
              <w:t>：总投资</w:t>
            </w:r>
            <w:r>
              <w:rPr>
                <w:rFonts w:hint="eastAsia" w:ascii="Times New Roman" w:hAnsi="Times New Roman" w:eastAsia="楷体"/>
                <w:sz w:val="24"/>
              </w:rPr>
              <w:tab/>
            </w:r>
            <w:r>
              <w:rPr>
                <w:rFonts w:hint="eastAsia" w:ascii="Times New Roman" w:hAnsi="Times New Roman" w:eastAsia="楷体"/>
                <w:sz w:val="24"/>
              </w:rPr>
              <w:t>117万元，主要建设内容为：购买饲草料23578吨，按照饲料成本的30%补助，共计117万元。.</w:t>
            </w:r>
          </w:p>
          <w:p w14:paraId="7F778C43">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连片池塘标准化改造和尾水治理项目：</w:t>
            </w:r>
            <w:r>
              <w:rPr>
                <w:rFonts w:hint="eastAsia" w:ascii="Times New Roman" w:hAnsi="Times New Roman" w:eastAsia="楷体"/>
                <w:sz w:val="24"/>
              </w:rPr>
              <w:t xml:space="preserve">总投资625万元，主要建设内容为：对皮山县1250亩盐碱鱼塘开展生态沟、生态塘、沉淀池等池塘尾水治理设施改造提升，开展传统养殖池塘护坡加固、清淤加深，养殖设施设备配套，电力系统增容改造，养殖环境提升等，按照5000元/亩计算，总投资625万元，资金来源：中央预算内资金625万元。 </w:t>
            </w:r>
          </w:p>
          <w:p w14:paraId="17D3944E">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现代设施渔业建设与升级项目</w:t>
            </w:r>
            <w:r>
              <w:rPr>
                <w:rFonts w:hint="eastAsia" w:ascii="Times New Roman" w:hAnsi="Times New Roman" w:eastAsia="楷体"/>
                <w:sz w:val="24"/>
              </w:rPr>
              <w:t>：总投资250万元，主要建设内容为：支持符合条件的虾蟹养殖企业开展水产养殖现代化装备示范推广，新建设施增温养殖装备，确保虾蟹苗越冬度春，提高产量。预计2</w:t>
            </w:r>
            <w:r>
              <w:rPr>
                <w:rFonts w:ascii="Times New Roman" w:hAnsi="Times New Roman" w:eastAsia="楷体"/>
                <w:sz w:val="24"/>
              </w:rPr>
              <w:t>5</w:t>
            </w:r>
            <w:r>
              <w:rPr>
                <w:rFonts w:hint="eastAsia" w:ascii="Times New Roman" w:hAnsi="Times New Roman" w:eastAsia="楷体"/>
                <w:sz w:val="24"/>
              </w:rPr>
              <w:t>亩，每亩需要10万元，共计</w:t>
            </w:r>
            <w:r>
              <w:rPr>
                <w:rFonts w:ascii="Times New Roman" w:hAnsi="Times New Roman" w:eastAsia="楷体"/>
                <w:sz w:val="24"/>
              </w:rPr>
              <w:t>250</w:t>
            </w:r>
            <w:r>
              <w:rPr>
                <w:rFonts w:hint="eastAsia" w:ascii="Times New Roman" w:hAnsi="Times New Roman" w:eastAsia="楷体"/>
                <w:sz w:val="24"/>
              </w:rPr>
              <w:t>万元。</w:t>
            </w:r>
          </w:p>
        </w:tc>
      </w:tr>
    </w:tbl>
    <w:p w14:paraId="5D9EF0D1">
      <w:pPr>
        <w:pStyle w:val="4"/>
        <w:keepLines w:val="0"/>
        <w:topLinePunct/>
        <w:spacing w:before="0" w:after="0" w:line="540" w:lineRule="exact"/>
        <w:ind w:firstLine="590" w:firstLineChars="210"/>
        <w:rPr>
          <w:sz w:val="28"/>
          <w:szCs w:val="28"/>
        </w:rPr>
      </w:pPr>
      <w:bookmarkStart w:id="97" w:name="_Toc237987642"/>
      <w:r>
        <w:rPr>
          <w:rFonts w:hint="eastAsia"/>
          <w:sz w:val="28"/>
          <w:szCs w:val="28"/>
        </w:rPr>
        <w:t>（五）动物卫生监督能力提升类</w:t>
      </w:r>
      <w:bookmarkEnd w:id="97"/>
    </w:p>
    <w:p w14:paraId="3A9E7146">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提升公路动物卫生监督检查站能力；配备兽医化验室快速检测车和布病自动检测设备；培养兽医诊疗技术人员。强化动物卫生监督和疫病检测能力，提升基层兽医服务水平。该类别项目共谋划</w:t>
      </w:r>
      <w:r>
        <w:rPr>
          <w:rFonts w:ascii="Times New Roman" w:hAnsi="Times New Roman" w:eastAsia="仿宋_GB2312"/>
          <w:kern w:val="2"/>
          <w:sz w:val="28"/>
          <w:szCs w:val="28"/>
        </w:rPr>
        <w:t>4</w:t>
      </w:r>
      <w:r>
        <w:rPr>
          <w:rFonts w:hint="eastAsia" w:ascii="Times New Roman" w:hAnsi="Times New Roman" w:eastAsia="仿宋_GB2312"/>
          <w:kern w:val="2"/>
          <w:sz w:val="28"/>
          <w:szCs w:val="28"/>
        </w:rPr>
        <w:t>个项目，总投资1</w:t>
      </w:r>
      <w:r>
        <w:rPr>
          <w:rFonts w:ascii="Times New Roman" w:hAnsi="Times New Roman" w:eastAsia="仿宋_GB2312"/>
          <w:kern w:val="2"/>
          <w:sz w:val="28"/>
          <w:szCs w:val="28"/>
        </w:rPr>
        <w:t>000</w:t>
      </w:r>
      <w:r>
        <w:rPr>
          <w:rFonts w:hint="eastAsia" w:ascii="Times New Roman" w:hAnsi="Times New Roman" w:eastAsia="仿宋_GB2312"/>
          <w:kern w:val="2"/>
          <w:sz w:val="28"/>
          <w:szCs w:val="28"/>
        </w:rPr>
        <w:t>万元。</w:t>
      </w:r>
    </w:p>
    <w:p w14:paraId="57254F33">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主要建设方向包括：</w:t>
      </w:r>
    </w:p>
    <w:p w14:paraId="1471AB60">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改造办公场地，完善检疫消毒、隔离观察等设施，购置检疫、取证、执法和通讯设备等，更新数码相机等调查取证设备，购置电脑、打印机等信息化设施设备；兽医化验室快速检测车配备项目：为动物疫病控制与诊断中心配备快速采样检测车；为动物疫病控制与诊断中心配备布病自动检测设备，30万元/台；聘请具备相应资质和教学能力的高等院校或科研机构兽医专家为皮山县16个乡镇培养兽医诊疗人员，通过为期两年的培训，兽医诊疗技术人员能开展常见内科病、外科病和产科病的诊疗，能规范使用兽药和开处方，为全县养殖户提供诊疗服务。专家聘用费15万元/年，2年30万元，每名兽医诊疗人员每年补贴食宿交通等费用1万元，2年共计2万元，186人需要372万元。</w:t>
      </w:r>
    </w:p>
    <w:p w14:paraId="493E9429">
      <w:pPr>
        <w:pStyle w:val="3"/>
        <w:widowControl/>
        <w:spacing w:before="0" w:after="0" w:line="600" w:lineRule="exact"/>
        <w:ind w:firstLine="562" w:firstLineChars="200"/>
        <w:rPr>
          <w:rFonts w:ascii="Arial" w:hAnsi="Arial" w:eastAsia="黑体"/>
          <w:bCs w:val="0"/>
          <w:kern w:val="0"/>
          <w:sz w:val="28"/>
          <w:szCs w:val="20"/>
        </w:rPr>
      </w:pPr>
      <w:bookmarkStart w:id="98" w:name="_Toc237987643"/>
      <w:r>
        <w:rPr>
          <w:rFonts w:hint="eastAsia" w:ascii="Arial" w:hAnsi="Arial" w:eastAsia="黑体"/>
          <w:bCs w:val="0"/>
          <w:kern w:val="0"/>
          <w:sz w:val="28"/>
          <w:szCs w:val="20"/>
        </w:rPr>
        <w:t>三、优质绿色果蔬及特色种植类</w:t>
      </w:r>
      <w:bookmarkEnd w:id="98"/>
    </w:p>
    <w:p w14:paraId="1C2AF7F7">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包括设施农业、特色种植及加工、农产品质量安全，该类别共谋划2</w:t>
      </w:r>
      <w:r>
        <w:rPr>
          <w:rFonts w:ascii="Times New Roman" w:hAnsi="Times New Roman" w:eastAsia="仿宋_GB2312"/>
          <w:kern w:val="2"/>
          <w:sz w:val="28"/>
          <w:szCs w:val="28"/>
        </w:rPr>
        <w:t>2</w:t>
      </w:r>
      <w:r>
        <w:rPr>
          <w:rFonts w:hint="eastAsia" w:ascii="Times New Roman" w:hAnsi="Times New Roman" w:eastAsia="仿宋_GB2312"/>
          <w:kern w:val="2"/>
          <w:sz w:val="28"/>
          <w:szCs w:val="28"/>
        </w:rPr>
        <w:t>个项目，总投资约</w:t>
      </w:r>
      <w:r>
        <w:rPr>
          <w:rFonts w:ascii="Times New Roman" w:hAnsi="Times New Roman" w:eastAsia="仿宋_GB2312"/>
          <w:kern w:val="2"/>
          <w:sz w:val="28"/>
          <w:szCs w:val="28"/>
        </w:rPr>
        <w:t>4</w:t>
      </w:r>
      <w:r>
        <w:rPr>
          <w:rFonts w:hint="eastAsia" w:ascii="Times New Roman" w:hAnsi="Times New Roman" w:eastAsia="仿宋_GB2312"/>
          <w:kern w:val="2"/>
          <w:sz w:val="28"/>
          <w:szCs w:val="28"/>
        </w:rPr>
        <w:t>2</w:t>
      </w:r>
      <w:r>
        <w:rPr>
          <w:rFonts w:ascii="Times New Roman" w:hAnsi="Times New Roman" w:eastAsia="仿宋_GB2312"/>
          <w:kern w:val="2"/>
          <w:sz w:val="28"/>
          <w:szCs w:val="28"/>
        </w:rPr>
        <w:t>.</w:t>
      </w:r>
      <w:r>
        <w:rPr>
          <w:rFonts w:hint="eastAsia" w:ascii="Times New Roman" w:hAnsi="Times New Roman" w:eastAsia="仿宋_GB2312"/>
          <w:kern w:val="2"/>
          <w:sz w:val="28"/>
          <w:szCs w:val="28"/>
        </w:rPr>
        <w:t>76亿元。</w:t>
      </w:r>
    </w:p>
    <w:p w14:paraId="265E9E87">
      <w:pPr>
        <w:pStyle w:val="4"/>
        <w:keepLines w:val="0"/>
        <w:topLinePunct/>
        <w:spacing w:before="0" w:after="0" w:line="540" w:lineRule="exact"/>
        <w:ind w:firstLine="590" w:firstLineChars="210"/>
        <w:rPr>
          <w:sz w:val="28"/>
          <w:szCs w:val="28"/>
        </w:rPr>
      </w:pPr>
      <w:bookmarkStart w:id="99" w:name="_Toc237987644"/>
      <w:r>
        <w:rPr>
          <w:rFonts w:hint="eastAsia"/>
          <w:sz w:val="28"/>
          <w:szCs w:val="28"/>
        </w:rPr>
        <w:t>（一）设施农业类</w:t>
      </w:r>
      <w:bookmarkEnd w:id="99"/>
    </w:p>
    <w:p w14:paraId="2546A80C">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新建标准化日光温室；建设戈壁设施农业标准化大棚；建设县乡村三级种苗繁育体系；发展观光休闲设施农业；实施设施蔬菜培肥地力与绿色高质高效生产示范；推进帮扶产业延链补链；建设小型农田水利设施；推进农田设施设备维修提升改造；实施粮食产能提升改造建设。发展设施农业，稳定蔬菜供应，增加就业岗位，改善农田基础设施，促进农旅融合。该类别项目共谋划10个项目，总投资209135万元。</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6A320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1747DF6F">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w:t>
            </w:r>
            <w:r>
              <w:rPr>
                <w:rFonts w:ascii="Times New Roman" w:hAnsi="Times New Roman" w:eastAsia="楷体"/>
                <w:b/>
                <w:bCs/>
                <w:sz w:val="28"/>
                <w:szCs w:val="28"/>
              </w:rPr>
              <w:t>9</w:t>
            </w:r>
            <w:r>
              <w:rPr>
                <w:rFonts w:hint="eastAsia" w:ascii="Times New Roman" w:hAnsi="Times New Roman" w:eastAsia="楷体"/>
                <w:b/>
                <w:bCs/>
                <w:sz w:val="28"/>
                <w:szCs w:val="28"/>
              </w:rPr>
              <w:t>设施农业类重点项目</w:t>
            </w:r>
          </w:p>
        </w:tc>
      </w:tr>
      <w:tr w14:paraId="483A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51507B47">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标准化设施生产基地建设项目：</w:t>
            </w:r>
            <w:r>
              <w:rPr>
                <w:rFonts w:hint="eastAsia" w:ascii="Times New Roman" w:hAnsi="Times New Roman" w:eastAsia="楷体"/>
                <w:sz w:val="24"/>
              </w:rPr>
              <w:t xml:space="preserve">总投资79000万元，主要建设内容为：在皮山县建设一批集中连片规模化沙漠（戈壁）设施农业生产基地。到2030年，累计完成新建日光温室760座，每座按3.3亩标准建设，即160米长、14米宽，总种植面积2508亩。 </w:t>
            </w:r>
          </w:p>
          <w:p w14:paraId="3C904F04">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戈壁设施农业标准化大棚建设项目</w:t>
            </w:r>
            <w:r>
              <w:rPr>
                <w:rFonts w:hint="eastAsia" w:ascii="Times New Roman" w:hAnsi="Times New Roman" w:eastAsia="楷体"/>
                <w:sz w:val="24"/>
              </w:rPr>
              <w:t>：总投资75000万元，主要建设内容为：新建日光温室大棚500座，每座投入150万元，其中政府投资52500万元，其余部分由通过公开招标方式确定的社会投资方承担。主要建设水电路和水肥一体化配套等设施；通过公开招商程序确定合作企业。项目建成后可改善设施条件、优化生产环节，提高蔬菜产量和品质，带动产业链发展，增加就业岗位，节水灌溉措施可提高水资源利用率，增强抗灾能力。</w:t>
            </w:r>
          </w:p>
          <w:p w14:paraId="1B1E10AF">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种苗繁育体系建设项目：</w:t>
            </w:r>
            <w:r>
              <w:rPr>
                <w:rFonts w:hint="eastAsia" w:ascii="Times New Roman" w:hAnsi="Times New Roman" w:eastAsia="楷体"/>
                <w:sz w:val="24"/>
              </w:rPr>
              <w:t>总投资530万元，主要建设内容为：</w:t>
            </w:r>
          </w:p>
          <w:p w14:paraId="0AA1DCE3">
            <w:pPr>
              <w:pStyle w:val="24"/>
              <w:spacing w:after="0" w:line="400" w:lineRule="exact"/>
              <w:ind w:left="0" w:leftChars="0" w:firstLine="480" w:firstLineChars="200"/>
              <w:rPr>
                <w:rFonts w:ascii="Times New Roman" w:hAnsi="Times New Roman" w:eastAsia="楷体"/>
                <w:sz w:val="24"/>
              </w:rPr>
            </w:pPr>
            <w:r>
              <w:rPr>
                <w:rFonts w:hint="eastAsia" w:ascii="Times New Roman" w:hAnsi="Times New Roman" w:eastAsia="楷体"/>
                <w:sz w:val="24"/>
              </w:rPr>
              <w:t>（1）集约化设施种苗繁育工厂建设项目：在皮山县建立一批节能高效、运行成本适中、符合乡村需求的种苗繁育设施，形成县有育苗中心、乡有育苗工厂、村有育苗温室的县、乡、村三级种苗繁育体系。在连片设施产区建设设施农业工厂化育苗中心，配备播种机、基质搅拌机、降温水帘、迷雾机、管道等育苗设施设备，配备专业配送车辆2辆（15万元/辆），到2030年育苗设施（含车间与温室）累计达到20座（每座10万元）。根据地区特色选择地域性强的种苗进行培育，通过提升技术和设备水平，提高育苗质量和规模，实现温室、拱棚生产用种苗集中供应。</w:t>
            </w:r>
          </w:p>
          <w:p w14:paraId="4A56FD93">
            <w:pPr>
              <w:pStyle w:val="24"/>
              <w:spacing w:after="0" w:line="400" w:lineRule="exact"/>
              <w:ind w:left="0" w:leftChars="0" w:firstLine="480" w:firstLineChars="200"/>
              <w:rPr>
                <w:rFonts w:ascii="Times New Roman" w:hAnsi="Times New Roman" w:eastAsia="楷体"/>
                <w:sz w:val="24"/>
              </w:rPr>
            </w:pPr>
            <w:r>
              <w:rPr>
                <w:rFonts w:hint="eastAsia" w:ascii="Times New Roman" w:hAnsi="Times New Roman" w:eastAsia="楷体"/>
                <w:sz w:val="24"/>
              </w:rPr>
              <w:t>（2）蔬菜育苗专业生产经营主体培育项目：皮山县积极培育和扶持一批蔬菜育苗专业生产经营主体，对优质蔬菜种子种苗实行良种补贴，发展壮大一批蔬菜种子种苗企业、种植大户、合作社等。加强企业与科研院所、高等院校的合作，利用专业研究技术，结合企业培育的品种进行蔬菜种苗培育与销售。</w:t>
            </w:r>
          </w:p>
          <w:p w14:paraId="5CCB9980">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观光休闲设施农业文旅创新建设项目：</w:t>
            </w:r>
            <w:r>
              <w:rPr>
                <w:rFonts w:hint="eastAsia" w:ascii="Times New Roman" w:hAnsi="Times New Roman" w:eastAsia="楷体"/>
                <w:sz w:val="24"/>
              </w:rPr>
              <w:t xml:space="preserve">总投资150万元，主要建设内容为：发展设施采摘、观光体验等休闲农业，在皮山县周边利用地域资源和区位优势，重点扶持打造一批50亩以上生态农业观光园、生态农业公园、生态农庄等主题为主的休闲旅游示范园区，形成农旅融合业态，拓展设施蔬菜产业多功能性。 </w:t>
            </w:r>
          </w:p>
          <w:p w14:paraId="25DC0941">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设施蔬菜培肥地力高效生产示范工程：</w:t>
            </w:r>
            <w:r>
              <w:rPr>
                <w:rFonts w:hint="eastAsia" w:ascii="Times New Roman" w:hAnsi="Times New Roman" w:eastAsia="楷体"/>
                <w:sz w:val="24"/>
              </w:rPr>
              <w:t xml:space="preserve">总投资55万元，主要建设内容为：设施作物模式化无土栽培工厂建设项目：在皮山县新建温室中选取10座，针对当地主营设施作物，通过开展农家肥等有机质与本土黄沙配方改良培肥地力以优化作物生长的根基环境、进行营养液配方改良来精准满足作物不同生长阶段的养分需求、改进灌溉模式实现水资源高效利用，同时筛选适宜当地种植的不同优良品种，最终形成标准化、规范化的改土培肥配方，从而达成设施作物的高效高产目标。 </w:t>
            </w:r>
          </w:p>
          <w:p w14:paraId="2156974F">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设施蔬菜绿色高质高效生产技术集成与示范工程：</w:t>
            </w:r>
            <w:r>
              <w:rPr>
                <w:rFonts w:hint="eastAsia" w:ascii="Times New Roman" w:hAnsi="Times New Roman" w:eastAsia="楷体"/>
                <w:sz w:val="24"/>
              </w:rPr>
              <w:t>总投资300万元，主要建设内容为：一是沙漠（戈壁）设施农业土壤改良示范工程：在皮山县选200座新建设施生产基地进行土壤改良示范，采用换土等技术改良土壤、培肥地力。二是邀请专家测土配方，指导农民科学施肥，跟踪土壤养分变化。约需200万元。三是温室智能化控制系统示范推广项目：新建设施生产主产区各选 100座温室，推广装备智能化控制系统，通过信息终端发送监测及报警信息，实现远程管理，发挥物联网作用，保障作物生长适宜环境。</w:t>
            </w:r>
          </w:p>
          <w:p w14:paraId="7C252B81">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皮山县帮扶产业延链补链建设项目：</w:t>
            </w:r>
            <w:r>
              <w:rPr>
                <w:rFonts w:hint="eastAsia" w:ascii="Times New Roman" w:hAnsi="Times New Roman" w:eastAsia="楷体"/>
                <w:sz w:val="24"/>
              </w:rPr>
              <w:t>总投资10000万元，主要建设内容为：围绕现有帮扶资产和使用价值，提高使用率，通过更新设备、引进新的生产线等方式提高产业链条，对现有的厂房设备进行维修改造等；每年投入2000万元，持续巩固和提升帮扶产业发展效益。</w:t>
            </w:r>
          </w:p>
          <w:p w14:paraId="2D41A968">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皮山县小型农田水利设施建设项目</w:t>
            </w:r>
            <w:r>
              <w:rPr>
                <w:rFonts w:hint="eastAsia" w:ascii="Times New Roman" w:hAnsi="Times New Roman" w:eastAsia="楷体"/>
                <w:sz w:val="24"/>
              </w:rPr>
              <w:t>：总投资4800万元，主要建设内容为：对皮山县全县范围内新建防渗斗渠共60公里，并配套渠系建筑物，提高粮食安全保障能力；每公里计划投资80万元。</w:t>
            </w:r>
          </w:p>
          <w:p w14:paraId="279095F1">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皮山县农田设施设备维修提升改造项目</w:t>
            </w:r>
            <w:r>
              <w:rPr>
                <w:rFonts w:hint="eastAsia" w:ascii="Times New Roman" w:hAnsi="Times New Roman" w:eastAsia="楷体"/>
                <w:sz w:val="24"/>
              </w:rPr>
              <w:t>：总投资3300万元，主要建设内容为：对皮山县2019年以来实施的农田建设项目沉砂池、泵房、灌溉设施、田间道路等附属配套进行维修改造。</w:t>
            </w:r>
          </w:p>
          <w:p w14:paraId="2B355121">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皮山县粮食产能提升改造建设项目</w:t>
            </w:r>
            <w:r>
              <w:rPr>
                <w:rFonts w:hint="eastAsia" w:ascii="Times New Roman" w:hAnsi="Times New Roman" w:eastAsia="楷体"/>
                <w:sz w:val="24"/>
              </w:rPr>
              <w:t>：总投资36000万元，主要建设内容为：在皮亚勒玛乡片区新建粮食产能提升改造工程3.6万亩，主要建设内容包括土地平整，高效节水、田间道、生产路林床平整，新建排渠等工程。</w:t>
            </w:r>
          </w:p>
        </w:tc>
      </w:tr>
    </w:tbl>
    <w:p w14:paraId="5F9BEB33">
      <w:pPr>
        <w:pStyle w:val="4"/>
        <w:keepLines w:val="0"/>
        <w:topLinePunct/>
        <w:spacing w:before="0" w:after="0" w:line="540" w:lineRule="exact"/>
        <w:ind w:firstLine="590" w:firstLineChars="210"/>
        <w:rPr>
          <w:sz w:val="28"/>
          <w:szCs w:val="28"/>
        </w:rPr>
      </w:pPr>
      <w:bookmarkStart w:id="100" w:name="_Toc237987645"/>
      <w:r>
        <w:rPr>
          <w:rFonts w:hint="eastAsia"/>
          <w:sz w:val="28"/>
          <w:szCs w:val="28"/>
        </w:rPr>
        <w:t>（二）特色种植及加工类</w:t>
      </w:r>
      <w:bookmarkEnd w:id="100"/>
    </w:p>
    <w:p w14:paraId="0732E34E">
      <w:pPr>
        <w:pStyle w:val="24"/>
        <w:spacing w:after="0" w:line="580" w:lineRule="exact"/>
        <w:ind w:left="0" w:leftChars="0" w:firstLine="560" w:firstLineChars="200"/>
        <w:rPr>
          <w:rFonts w:ascii="Times New Roman" w:hAnsi="Times New Roman" w:eastAsia="楷体"/>
          <w:sz w:val="24"/>
        </w:rPr>
      </w:pPr>
      <w:r>
        <w:rPr>
          <w:rFonts w:hint="eastAsia" w:ascii="Times New Roman" w:hAnsi="Times New Roman" w:eastAsia="仿宋_GB2312"/>
          <w:kern w:val="2"/>
          <w:sz w:val="28"/>
          <w:szCs w:val="28"/>
        </w:rPr>
        <w:t>建设瓜蒌全产业链（种植、研发、药用提取、酒窖）；建设中药材标准化种植示范基地；建设自治区级现代农业产业园；实施葛根种植与精深加工；建设肉苁蓉GAP种植示范基地；推进产业发展引导资金项目；开展特色农产品推广；建设特色农产品生产加工设施，带动大规模就业。该类别项目共谋划10个项目，总投资217750万元。</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51E5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48E3769D">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w:t>
            </w:r>
            <w:r>
              <w:rPr>
                <w:rFonts w:ascii="Times New Roman" w:hAnsi="Times New Roman" w:eastAsia="楷体"/>
                <w:b/>
                <w:bCs/>
                <w:sz w:val="28"/>
                <w:szCs w:val="28"/>
              </w:rPr>
              <w:t xml:space="preserve">10 </w:t>
            </w:r>
            <w:r>
              <w:rPr>
                <w:rFonts w:hint="eastAsia" w:ascii="Times New Roman" w:hAnsi="Times New Roman" w:eastAsia="楷体"/>
                <w:b/>
                <w:bCs/>
                <w:sz w:val="28"/>
                <w:szCs w:val="28"/>
              </w:rPr>
              <w:t>特色种植及加工类重点项目</w:t>
            </w:r>
          </w:p>
        </w:tc>
      </w:tr>
      <w:tr w14:paraId="5A63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169EE1ED">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瓜蒌产业强镇建设项目</w:t>
            </w:r>
            <w:r>
              <w:rPr>
                <w:rFonts w:hint="eastAsia" w:ascii="Times New Roman" w:hAnsi="Times New Roman" w:eastAsia="楷体"/>
                <w:sz w:val="24"/>
              </w:rPr>
              <w:t>：总投资111000万元，主要建设内容为：在皮山县建立一个瓜蒌全产业链，“十五五”末瓜蒌种植基地达到10万亩，项目建成后可实现1.1万人稳定就业，年产瓜蒌籽2万吨，瓜蒌鲜根6万吨，瓜蒌皮2万吨，年总产值不低于20亿元，将皮山打造成全国药、食用瓜蒌主产区域。</w:t>
            </w:r>
          </w:p>
          <w:p w14:paraId="35F1BBEC">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“十五五”瓜蒌全产业链研发建设项目</w:t>
            </w:r>
            <w:r>
              <w:rPr>
                <w:rFonts w:hint="eastAsia" w:ascii="Times New Roman" w:hAnsi="Times New Roman" w:eastAsia="楷体"/>
                <w:sz w:val="24"/>
              </w:rPr>
              <w:t>：总投资10000万元，主要建设内容为：支持通过公开竞争程序择优确定具备资质、产能、技术能力等条件的企业，开展瓜蒌全产业链研发，新建瓜蒌全产业链研发大楼、分析检测中心、植物组培中心等设施。项目总投资10000万元，用地需求20亩。</w:t>
            </w:r>
          </w:p>
          <w:p w14:paraId="2D0BC634">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“十五五”瓜蒌全质资源化药用成份提取项目、10万吨瓜蒌酒酒窖建设项目</w:t>
            </w:r>
            <w:r>
              <w:rPr>
                <w:rFonts w:hint="eastAsia" w:ascii="Times New Roman" w:hAnsi="Times New Roman" w:eastAsia="楷体"/>
                <w:sz w:val="24"/>
              </w:rPr>
              <w:t>：总投资50000万元，主要建设内容为：支持通过公开竞争程序择优确定具备资质、产能、技术能力等条件的企业，重点开发瓜蒌根（天花粉）、皮、籽等药用部位，建设中药材饮片生产线；建设现代化瓜蒌特色酒品酒窖设施。实现从原料处理到窖藏管理的闭环生产，存储规模达10万吨。项目总投资50000万元，用地需求400亩。</w:t>
            </w:r>
          </w:p>
          <w:p w14:paraId="11F775D6">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“十五五”中药材标准化种植示范基地：</w:t>
            </w:r>
            <w:r>
              <w:rPr>
                <w:rFonts w:hint="eastAsia" w:ascii="Times New Roman" w:hAnsi="Times New Roman" w:eastAsia="楷体"/>
                <w:sz w:val="24"/>
              </w:rPr>
              <w:t>总投资400万元，主要建设内容为：</w:t>
            </w:r>
            <w:r>
              <w:rPr>
                <w:rFonts w:hint="eastAsia" w:ascii="Times New Roman" w:hAnsi="Times New Roman" w:eastAsia="楷体"/>
                <w:sz w:val="24"/>
              </w:rPr>
              <w:tab/>
            </w:r>
            <w:r>
              <w:rPr>
                <w:rFonts w:hint="eastAsia" w:ascii="Times New Roman" w:hAnsi="Times New Roman" w:eastAsia="楷体"/>
                <w:sz w:val="24"/>
              </w:rPr>
              <w:t xml:space="preserve">支持中药材重点县市加强对现有枸杞、雪菊等中药材种植主体的扶持，重点支持皮山县（雪菊）在技术培训、基础设施提升、采后初加工设施设备提升以及市场销售等方面，借助国家、自治区中药材产业发展及涉农相关项目建设，对符合公开认定标准、带动农户成效显著的农业经营主体，按照公平、公正原则给予支持建立标准化种植示范基地，以点带面引导农户进行枸杞、雪菊的标准种植。同时，对板蓝根、红花、香青兰、金银花等中药材试验试种主体，提供种植技术、产后烘干晾晒等技术指导资源对接与服务，通过中药材基地项目建设，支持有条件的乡镇，通过林下经济、轮作套种、庭院经济等模式，充分利用水土资源，建设标准化种植示范基地，助力特色中药材产业发展壮大。 </w:t>
            </w:r>
          </w:p>
          <w:p w14:paraId="22DBD2B4">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自治区级现代农业产业园建设项目</w:t>
            </w:r>
            <w:r>
              <w:rPr>
                <w:rFonts w:hint="eastAsia" w:ascii="Times New Roman" w:hAnsi="Times New Roman" w:eastAsia="楷体"/>
                <w:sz w:val="24"/>
              </w:rPr>
              <w:t xml:space="preserve">：总投资1000万元，主要建设内容为：开展园区主导产业及相关配套附属设施、科技等建设，逐步建成上下游贯通、产业链衔接紧密的农业综合体；投资规模，国家奖补资金1000万元，地方配套及社会资本投入，并有效解决当地群众稳定就业。 </w:t>
            </w:r>
          </w:p>
          <w:p w14:paraId="409FD725">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皮山县葛根种植与精深加工建设项目：</w:t>
            </w:r>
            <w:r>
              <w:rPr>
                <w:rFonts w:hint="eastAsia" w:ascii="Times New Roman" w:hAnsi="Times New Roman" w:eastAsia="楷体"/>
                <w:sz w:val="24"/>
              </w:rPr>
              <w:t>总投资30000万元，主要建设内容为：葛根种植5万亩，2028年建设3万亩核心示范区，建成种苗繁育中心、高效节水灌溉系统(滴灌为主)、机械化作业体系和防风固沙工程,建设初级加工中心(清洗、切片、干燥)。2030年建成5万亩种植基地，配套建成国家级葛根精深加工产业园,年处理鲜葛根能力达到15万吨，精深加工转化率不低于60%。</w:t>
            </w:r>
          </w:p>
          <w:p w14:paraId="6226DFDD">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“十五五”肉苁蓉GAP种植示范基地项目</w:t>
            </w:r>
            <w:r>
              <w:rPr>
                <w:rFonts w:hint="eastAsia" w:ascii="Times New Roman" w:hAnsi="Times New Roman" w:eastAsia="楷体"/>
                <w:sz w:val="24"/>
              </w:rPr>
              <w:t>：总投资50万元，主要建设内容为：建设肉苁蓉GAP种植示范基地1个，依托具备相应资质和能力的农业经营主体（包括企业、合作社、家庭农场等），提升现有肉苁蓉种植基地生产水平，按照GAP标准对肉苁蓉的产地生态环境进行改善，并从种植栽培、采收加工到包装、贮藏、运输的全产业链环节进行严格管理，开展肉苁蓉GAP技术示范、标准应用推广，带动农户开展肉苁蓉GAP种植。同时，依托合作社及企业发展梭梭、四翅滨藜嫁接肉苁蓉种植，提升示范基地覆盖范围。</w:t>
            </w:r>
          </w:p>
          <w:p w14:paraId="15128B0A">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皮山县产业发展引导资金项目-皮山县特色种植及畜牧养殖等产业发展建设项目</w:t>
            </w:r>
            <w:r>
              <w:rPr>
                <w:rFonts w:hint="eastAsia" w:ascii="Times New Roman" w:hAnsi="Times New Roman" w:eastAsia="楷体"/>
                <w:sz w:val="24"/>
              </w:rPr>
              <w:t>：总投资10000万元，主要建设内容为：按照公开透明的产业发展引导资金管理办法，对符合条件的农业经营主体给予固定资产投资补助，设定合理补助上限，以“先建后补”方式给予补助；每年投入2000万元，特色种植以实际投资金额给予相应补助，畜牧养殖业以头或个给予相应补助，引导产业规模化发展。</w:t>
            </w:r>
          </w:p>
          <w:p w14:paraId="4DF69707">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皮山县特色农产品推广项目</w:t>
            </w:r>
            <w:r>
              <w:rPr>
                <w:rFonts w:hint="eastAsia" w:ascii="Times New Roman" w:hAnsi="Times New Roman" w:eastAsia="楷体"/>
                <w:sz w:val="24"/>
              </w:rPr>
              <w:t>：总投资1800万元，主要建设内容为：1.对克里阳雪菊、西红花、核桃、红枣等特色经济农作物，驴、皮山红羊、鹅、兔、鸡等特色畜禽进行精深加工、冷链包装、品牌创建、市场宣传推介，培育具有市场竞争力的名优特知名产品；2.延伸市场产业链，支持农村流通企业通过市场化方式开展合作，培育具有竞争力的流通主体，为农产品提供包装设计、宣传推广、电商营销等服务。</w:t>
            </w:r>
          </w:p>
          <w:p w14:paraId="6A412885">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皮山县特色农产品生产加工厂设备采购及厂房改造建设项目</w:t>
            </w:r>
            <w:r>
              <w:rPr>
                <w:rFonts w:hint="eastAsia" w:ascii="Times New Roman" w:hAnsi="Times New Roman" w:eastAsia="楷体"/>
                <w:sz w:val="24"/>
              </w:rPr>
              <w:t>：总投资3500万元，主要建设内容为：采购特色农产品加工设备投资1750万元；厂房改造及建设（含电力、给排水、厂房加高）投资1750万元，全面提升皮山县特色农产品精深加工能力。</w:t>
            </w:r>
          </w:p>
        </w:tc>
      </w:tr>
    </w:tbl>
    <w:p w14:paraId="5CDADF59">
      <w:pPr>
        <w:pStyle w:val="4"/>
        <w:keepLines w:val="0"/>
        <w:topLinePunct/>
        <w:spacing w:before="0" w:after="0" w:line="540" w:lineRule="exact"/>
        <w:ind w:firstLine="590" w:firstLineChars="210"/>
        <w:rPr>
          <w:sz w:val="28"/>
          <w:szCs w:val="28"/>
        </w:rPr>
      </w:pPr>
      <w:bookmarkStart w:id="101" w:name="_Toc237987646"/>
      <w:r>
        <w:rPr>
          <w:rFonts w:hint="eastAsia"/>
          <w:sz w:val="28"/>
          <w:szCs w:val="28"/>
        </w:rPr>
        <w:t>（三）农产品质量安全类</w:t>
      </w:r>
      <w:bookmarkEnd w:id="101"/>
    </w:p>
    <w:p w14:paraId="36CE2F1E">
      <w:pPr>
        <w:pStyle w:val="24"/>
        <w:spacing w:after="0" w:line="580" w:lineRule="exact"/>
        <w:ind w:left="0" w:leftChars="0" w:firstLine="560" w:firstLineChars="200"/>
        <w:rPr>
          <w:rFonts w:ascii="Times New Roman" w:hAnsi="Times New Roman" w:eastAsia="楷体"/>
          <w:sz w:val="24"/>
        </w:rPr>
      </w:pPr>
      <w:r>
        <w:rPr>
          <w:rFonts w:hint="eastAsia" w:ascii="Times New Roman" w:hAnsi="Times New Roman" w:eastAsia="仿宋_GB2312"/>
          <w:kern w:val="2"/>
          <w:sz w:val="28"/>
          <w:szCs w:val="28"/>
        </w:rPr>
        <w:t>提升县级农检机构检验检测能力；在15个乡镇建设农产品质量安全监管站并配备速测设备。保障“舌尖上的安全”，确保农产品质量安全检测合格率保持在98%以上。该类别共谋划</w:t>
      </w:r>
      <w:r>
        <w:rPr>
          <w:rFonts w:ascii="Times New Roman" w:hAnsi="Times New Roman" w:eastAsia="仿宋_GB2312"/>
          <w:kern w:val="2"/>
          <w:sz w:val="28"/>
          <w:szCs w:val="28"/>
        </w:rPr>
        <w:t>2</w:t>
      </w:r>
      <w:r>
        <w:rPr>
          <w:rFonts w:hint="eastAsia" w:ascii="Times New Roman" w:hAnsi="Times New Roman" w:eastAsia="仿宋_GB2312"/>
          <w:kern w:val="2"/>
          <w:sz w:val="28"/>
          <w:szCs w:val="28"/>
        </w:rPr>
        <w:t>个项目，总投资</w:t>
      </w:r>
      <w:r>
        <w:rPr>
          <w:rFonts w:ascii="Times New Roman" w:hAnsi="Times New Roman" w:eastAsia="仿宋_GB2312"/>
          <w:kern w:val="2"/>
          <w:sz w:val="28"/>
          <w:szCs w:val="28"/>
        </w:rPr>
        <w:t>750</w:t>
      </w:r>
      <w:r>
        <w:rPr>
          <w:rFonts w:hint="eastAsia" w:ascii="Times New Roman" w:hAnsi="Times New Roman" w:eastAsia="仿宋_GB2312"/>
          <w:kern w:val="2"/>
          <w:sz w:val="28"/>
          <w:szCs w:val="28"/>
        </w:rPr>
        <w:t>万元。</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4E148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1EBC0B0B">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w:t>
            </w:r>
            <w:r>
              <w:rPr>
                <w:rFonts w:ascii="Times New Roman" w:hAnsi="Times New Roman" w:eastAsia="楷体"/>
                <w:b/>
                <w:bCs/>
                <w:sz w:val="28"/>
                <w:szCs w:val="28"/>
              </w:rPr>
              <w:t>11</w:t>
            </w:r>
            <w:r>
              <w:rPr>
                <w:rFonts w:hint="eastAsia" w:ascii="Times New Roman" w:hAnsi="Times New Roman" w:eastAsia="楷体"/>
                <w:b/>
                <w:bCs/>
                <w:sz w:val="28"/>
                <w:szCs w:val="28"/>
              </w:rPr>
              <w:t>农产品质量安全类重点项目</w:t>
            </w:r>
          </w:p>
        </w:tc>
      </w:tr>
      <w:tr w14:paraId="483F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0BC303C1">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农检机构检验检测能力提升项目：</w:t>
            </w:r>
            <w:r>
              <w:rPr>
                <w:rFonts w:hint="eastAsia" w:ascii="Times New Roman" w:hAnsi="Times New Roman" w:eastAsia="楷体"/>
                <w:sz w:val="24"/>
              </w:rPr>
              <w:t xml:space="preserve">总投资250万元，主要建设内容为：购置检测仪器配套设备、小型仪器设备、专用试剂耗材等。 </w:t>
            </w:r>
          </w:p>
          <w:p w14:paraId="1CFC494A">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乡镇农产品质量安全监管站建设项目：</w:t>
            </w:r>
            <w:r>
              <w:rPr>
                <w:rFonts w:hint="eastAsia" w:ascii="Times New Roman" w:hAnsi="Times New Roman" w:eastAsia="楷体"/>
                <w:sz w:val="24"/>
              </w:rPr>
              <w:t>总投资500万元，主要建设内容为：配备与农产品质量安全速测（蔬菜产品、水果产品、食用菌产品、畜禽产品和水产品）相适应的快速检测仪器设备及试剂耗材。胶体金快速检测方法应用，补助基层监管站购买胶体金快速检测一卡一码试剂，使其能够自主开展胶体金快速检测工作。</w:t>
            </w:r>
          </w:p>
        </w:tc>
      </w:tr>
    </w:tbl>
    <w:p w14:paraId="48EEFDCE">
      <w:pPr>
        <w:pStyle w:val="3"/>
        <w:widowControl/>
        <w:spacing w:before="0" w:after="0" w:line="600" w:lineRule="exact"/>
        <w:ind w:firstLine="562" w:firstLineChars="200"/>
        <w:rPr>
          <w:rFonts w:ascii="Arial" w:hAnsi="Arial" w:eastAsia="黑体"/>
          <w:bCs w:val="0"/>
          <w:kern w:val="0"/>
          <w:sz w:val="28"/>
          <w:szCs w:val="20"/>
        </w:rPr>
      </w:pPr>
      <w:bookmarkStart w:id="102" w:name="_Toc237987647"/>
      <w:r>
        <w:rPr>
          <w:rFonts w:hint="eastAsia" w:ascii="Arial" w:hAnsi="Arial" w:eastAsia="黑体"/>
          <w:bCs w:val="0"/>
          <w:kern w:val="0"/>
          <w:sz w:val="28"/>
          <w:szCs w:val="20"/>
        </w:rPr>
        <w:t>四、巩固拓展脱贫攻坚成果促进乡村振兴类</w:t>
      </w:r>
      <w:bookmarkEnd w:id="102"/>
    </w:p>
    <w:p w14:paraId="38CBA791">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包括城乡基础设施建设、品牌及市场建设类、农旅融合示范、夜间经济与特色经济项目等，该类别共谋划12个项目，总投资</w:t>
      </w:r>
      <w:r>
        <w:rPr>
          <w:rFonts w:ascii="Times New Roman" w:hAnsi="Times New Roman" w:eastAsia="仿宋_GB2312"/>
          <w:kern w:val="2"/>
          <w:sz w:val="28"/>
          <w:szCs w:val="28"/>
        </w:rPr>
        <w:t>11.75</w:t>
      </w:r>
      <w:r>
        <w:rPr>
          <w:rFonts w:hint="eastAsia" w:ascii="Times New Roman" w:hAnsi="Times New Roman" w:eastAsia="仿宋_GB2312"/>
          <w:kern w:val="2"/>
          <w:sz w:val="28"/>
          <w:szCs w:val="28"/>
        </w:rPr>
        <w:t>亿元。</w:t>
      </w:r>
    </w:p>
    <w:p w14:paraId="1EFF94F9">
      <w:pPr>
        <w:pStyle w:val="4"/>
        <w:keepLines w:val="0"/>
        <w:topLinePunct/>
        <w:spacing w:before="0" w:after="0" w:line="540" w:lineRule="exact"/>
        <w:ind w:firstLine="590" w:firstLineChars="210"/>
        <w:rPr>
          <w:sz w:val="28"/>
          <w:szCs w:val="28"/>
        </w:rPr>
      </w:pPr>
      <w:bookmarkStart w:id="103" w:name="_Toc237987648"/>
      <w:r>
        <w:rPr>
          <w:rFonts w:hint="eastAsia"/>
          <w:sz w:val="28"/>
          <w:szCs w:val="28"/>
        </w:rPr>
        <w:t>（一）基础设施建设类</w:t>
      </w:r>
      <w:bookmarkEnd w:id="103"/>
    </w:p>
    <w:p w14:paraId="42E9A261">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推进乡村道路、供排水、电力、网络等基础设施融合；建设数字治理、基层治理、生态产业、试验区、商贸中心、产地仓、农旅融合、夜间经济、冷链物流等项目；创建自治区级现代农业产业园。全面提升乡村基础设施和公共服务水平，为产业发展提供坚实支撑。该类别共谋划1</w:t>
      </w:r>
      <w:r>
        <w:rPr>
          <w:rFonts w:ascii="Times New Roman" w:hAnsi="Times New Roman" w:eastAsia="仿宋_GB2312"/>
          <w:kern w:val="2"/>
          <w:sz w:val="28"/>
          <w:szCs w:val="28"/>
        </w:rPr>
        <w:t>1</w:t>
      </w:r>
      <w:r>
        <w:rPr>
          <w:rFonts w:hint="eastAsia" w:ascii="Times New Roman" w:hAnsi="Times New Roman" w:eastAsia="仿宋_GB2312"/>
          <w:kern w:val="2"/>
          <w:sz w:val="28"/>
          <w:szCs w:val="28"/>
        </w:rPr>
        <w:t>个项目，总投资1</w:t>
      </w:r>
      <w:r>
        <w:rPr>
          <w:rFonts w:ascii="Times New Roman" w:hAnsi="Times New Roman" w:eastAsia="仿宋_GB2312"/>
          <w:kern w:val="2"/>
          <w:sz w:val="28"/>
          <w:szCs w:val="28"/>
        </w:rPr>
        <w:t>15</w:t>
      </w:r>
      <w:r>
        <w:rPr>
          <w:rFonts w:hint="eastAsia" w:ascii="Times New Roman" w:hAnsi="Times New Roman" w:eastAsia="仿宋_GB2312"/>
          <w:kern w:val="2"/>
          <w:sz w:val="28"/>
          <w:szCs w:val="28"/>
        </w:rPr>
        <w:t>000万元。</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1B97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7B10D680">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w:t>
            </w:r>
            <w:r>
              <w:rPr>
                <w:rFonts w:ascii="Times New Roman" w:hAnsi="Times New Roman" w:eastAsia="楷体"/>
                <w:b/>
                <w:bCs/>
                <w:sz w:val="28"/>
                <w:szCs w:val="28"/>
              </w:rPr>
              <w:t xml:space="preserve">12 </w:t>
            </w:r>
            <w:r>
              <w:rPr>
                <w:rFonts w:hint="eastAsia" w:ascii="Times New Roman" w:hAnsi="Times New Roman" w:eastAsia="楷体"/>
                <w:b/>
                <w:bCs/>
                <w:sz w:val="28"/>
                <w:szCs w:val="28"/>
              </w:rPr>
              <w:t>基础设施建设类重点项目</w:t>
            </w:r>
          </w:p>
        </w:tc>
      </w:tr>
      <w:tr w14:paraId="1C5E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659ACAEA">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基础设施融合项目：</w:t>
            </w:r>
            <w:r>
              <w:rPr>
                <w:rFonts w:hint="eastAsia" w:ascii="Times New Roman" w:hAnsi="Times New Roman" w:eastAsia="楷体"/>
                <w:sz w:val="24"/>
              </w:rPr>
              <w:t>总投资25000万元，主要建设内容为：皮山县所辖乡村道路、交通、供排水、电力、快递、网络、污水处理、垃圾处理与市政设施全面贯通。每年计划投入5000万元，五年共计25000万元。</w:t>
            </w:r>
          </w:p>
          <w:p w14:paraId="552C42A4">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数字治理创新项目：</w:t>
            </w:r>
            <w:r>
              <w:rPr>
                <w:rFonts w:hint="eastAsia" w:ascii="Times New Roman" w:hAnsi="Times New Roman" w:eastAsia="楷体"/>
                <w:sz w:val="24"/>
              </w:rPr>
              <w:t>总投资10000万元，主要建设内容为：皮山县所辖行政村实现智慧安防、便民服务与文旅融合平台，实现资源共享、优势互补、精品乡村旅游打卡点系列大融合。每年计划投入2000万元，五年共计</w:t>
            </w:r>
            <w:r>
              <w:rPr>
                <w:rFonts w:ascii="Times New Roman" w:hAnsi="Times New Roman" w:eastAsia="楷体"/>
                <w:sz w:val="24"/>
              </w:rPr>
              <w:t>10</w:t>
            </w:r>
            <w:r>
              <w:rPr>
                <w:rFonts w:hint="eastAsia" w:ascii="Times New Roman" w:hAnsi="Times New Roman" w:eastAsia="楷体"/>
                <w:sz w:val="24"/>
              </w:rPr>
              <w:t>000万元。</w:t>
            </w:r>
          </w:p>
          <w:p w14:paraId="1D046802">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基层治理模式项目：</w:t>
            </w:r>
            <w:r>
              <w:rPr>
                <w:rFonts w:hint="eastAsia" w:ascii="Times New Roman" w:hAnsi="Times New Roman" w:eastAsia="楷体"/>
                <w:sz w:val="24"/>
              </w:rPr>
              <w:t xml:space="preserve">总投资5000万元，主要建设内容为：皮山县所辖行政村实现综治中心完善和人民调解室优化提升。每年计划投入1000万元，五年共计5000万元。 </w:t>
            </w:r>
          </w:p>
          <w:p w14:paraId="31E31A0E">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生态产业协同项目：</w:t>
            </w:r>
            <w:r>
              <w:rPr>
                <w:rFonts w:hint="eastAsia" w:ascii="Times New Roman" w:hAnsi="Times New Roman" w:eastAsia="楷体"/>
                <w:sz w:val="24"/>
              </w:rPr>
              <w:t xml:space="preserve">总投资5000万元，主要建设内容为：皮山县沙产业巩固提升项目实现固沙增收与特色种植结合。每年计划投入1000万元，五年共计5000万元。 </w:t>
            </w:r>
          </w:p>
          <w:p w14:paraId="176A3050">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试验区与示范片区建设项目：</w:t>
            </w:r>
            <w:r>
              <w:rPr>
                <w:rFonts w:hint="eastAsia" w:ascii="Times New Roman" w:hAnsi="Times New Roman" w:eastAsia="楷体"/>
                <w:sz w:val="24"/>
              </w:rPr>
              <w:t>总投资10000万元，主要建设内容为：皮山县打造2-3个试验区，乡镇与农业产业化、文旅综合体建设。每年计划投入2000万元，五年共计</w:t>
            </w:r>
            <w:r>
              <w:rPr>
                <w:rFonts w:ascii="Times New Roman" w:hAnsi="Times New Roman" w:eastAsia="楷体"/>
                <w:sz w:val="24"/>
              </w:rPr>
              <w:t>10</w:t>
            </w:r>
            <w:r>
              <w:rPr>
                <w:rFonts w:hint="eastAsia" w:ascii="Times New Roman" w:hAnsi="Times New Roman" w:eastAsia="楷体"/>
                <w:sz w:val="24"/>
              </w:rPr>
              <w:t xml:space="preserve">000万元。 </w:t>
            </w:r>
          </w:p>
          <w:p w14:paraId="22E5983D">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乡镇商贸中心改造与村级便民店提质项目：</w:t>
            </w:r>
            <w:r>
              <w:rPr>
                <w:rFonts w:hint="eastAsia" w:ascii="Times New Roman" w:hAnsi="Times New Roman" w:eastAsia="楷体"/>
                <w:sz w:val="24"/>
              </w:rPr>
              <w:t>总投资5000万元，主要建设内容为：推动乡镇商贸中心、集贸市场升级，重点完善冷链仓储、消防设施、智能支付等功能。各行政村实现1个通过“互联网+便利店”模式，升级为供应链中转仓，提供快递收发、直播带货、农资代购等。每年计划投入1000万元，五年共计5000万元。</w:t>
            </w:r>
          </w:p>
          <w:p w14:paraId="3C6BA8C2">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产地仓与初加工中心项目：</w:t>
            </w:r>
            <w:r>
              <w:rPr>
                <w:rFonts w:hint="eastAsia" w:ascii="Times New Roman" w:hAnsi="Times New Roman" w:eastAsia="楷体"/>
                <w:sz w:val="24"/>
              </w:rPr>
              <w:t>总投资</w:t>
            </w:r>
            <w:r>
              <w:rPr>
                <w:rFonts w:hint="eastAsia" w:ascii="Times New Roman" w:hAnsi="Times New Roman" w:eastAsia="楷体"/>
                <w:sz w:val="24"/>
              </w:rPr>
              <w:tab/>
            </w:r>
            <w:r>
              <w:rPr>
                <w:rFonts w:hint="eastAsia" w:ascii="Times New Roman" w:hAnsi="Times New Roman" w:eastAsia="楷体"/>
                <w:sz w:val="24"/>
              </w:rPr>
              <w:t xml:space="preserve">5000万元，主要建设内容为：试点打造建设1个农产品初加工中心（鲜食瓜果），配套冷鲜库、分拣设备等。每年计划投入1000万元，五年共计5000万元。 </w:t>
            </w:r>
          </w:p>
          <w:p w14:paraId="575FDD2C">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农旅融合示范项目：</w:t>
            </w:r>
            <w:r>
              <w:rPr>
                <w:rFonts w:hint="eastAsia" w:ascii="Times New Roman" w:hAnsi="Times New Roman" w:eastAsia="楷体"/>
                <w:sz w:val="24"/>
              </w:rPr>
              <w:t>总投资5000万元，主要建设内容为：利用县市资源实施“全域农旅融合康养产业”，整合红色基地、生态旅游、沙疗康养、探险旅游、民俗文化等业态特色IP。每年计划投入1000万元，五年共计5000万元。</w:t>
            </w:r>
          </w:p>
          <w:p w14:paraId="57D6D623">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夜间经济与特色市集项目：</w:t>
            </w:r>
            <w:r>
              <w:rPr>
                <w:rFonts w:hint="eastAsia" w:ascii="Times New Roman" w:hAnsi="Times New Roman" w:eastAsia="楷体"/>
                <w:sz w:val="24"/>
              </w:rPr>
              <w:t>总投资5000万元，主要建设内容为：定期举办本县特色文化节、特色小吃博览会。每年计划投入1000万元，五年共计5000万元。</w:t>
            </w:r>
          </w:p>
          <w:p w14:paraId="0BE944F3">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冷链物流枢纽项目</w:t>
            </w:r>
            <w:r>
              <w:rPr>
                <w:rFonts w:hint="eastAsia" w:ascii="Times New Roman" w:hAnsi="Times New Roman" w:eastAsia="楷体"/>
                <w:sz w:val="24"/>
              </w:rPr>
              <w:t>：总投资5000万元，主要建设内容为：通过公开程序引入具备直播电商能力的服务主体，推动农产品快速流通。每年计划投入1000万元，五年共计5000万元。</w:t>
            </w:r>
          </w:p>
          <w:p w14:paraId="7E3CF15D">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皮山县自治区级现代农业产业园创建项目</w:t>
            </w:r>
            <w:r>
              <w:rPr>
                <w:rFonts w:hint="eastAsia" w:ascii="Times New Roman" w:hAnsi="Times New Roman" w:eastAsia="楷体"/>
                <w:sz w:val="24"/>
              </w:rPr>
              <w:t>：总投资35000万元，主要建设内容为：创建自治区级现代农业产业园，包括规划设计、基础设施建设等附属配套，全面提升园区承载能力和产业集聚水平。</w:t>
            </w:r>
          </w:p>
        </w:tc>
      </w:tr>
    </w:tbl>
    <w:p w14:paraId="4BCB17AF">
      <w:pPr>
        <w:pStyle w:val="4"/>
        <w:keepLines w:val="0"/>
        <w:topLinePunct/>
        <w:spacing w:before="0" w:after="0" w:line="540" w:lineRule="exact"/>
        <w:ind w:firstLine="590" w:firstLineChars="210"/>
        <w:rPr>
          <w:sz w:val="28"/>
          <w:szCs w:val="28"/>
        </w:rPr>
      </w:pPr>
      <w:bookmarkStart w:id="104" w:name="_Toc237987649"/>
      <w:r>
        <w:rPr>
          <w:rFonts w:hint="eastAsia"/>
          <w:sz w:val="28"/>
          <w:szCs w:val="28"/>
        </w:rPr>
        <w:t>（二）品牌及市场建设类</w:t>
      </w:r>
      <w:bookmarkEnd w:id="104"/>
    </w:p>
    <w:p w14:paraId="00EC7955">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完善皮山县设施农产品交易网络，提升交易效率与规范化水平。农残检测保障食品安全，仓储及电子结算等配套优化流通环节，提供农业农村领域招商引资活动补助，助力农产品快速外销，带动农户增收，促进区域农业产业升级。该类别共谋划2个项目，总投资3000万元。</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4FC9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468D86EF">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专栏13品牌及市场建设类重点项目</w:t>
            </w:r>
          </w:p>
        </w:tc>
      </w:tr>
      <w:tr w14:paraId="5051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489E008A">
            <w:pPr>
              <w:pStyle w:val="24"/>
              <w:spacing w:after="0" w:line="400" w:lineRule="exact"/>
              <w:ind w:left="0" w:leftChars="0" w:firstLine="482" w:firstLineChars="200"/>
              <w:rPr>
                <w:rFonts w:ascii="Times New Roman" w:hAnsi="Times New Roman" w:eastAsia="楷体"/>
                <w:b/>
                <w:sz w:val="24"/>
              </w:rPr>
            </w:pPr>
            <w:r>
              <w:rPr>
                <w:rFonts w:hint="eastAsia" w:ascii="Times New Roman" w:hAnsi="Times New Roman" w:eastAsia="楷体"/>
                <w:b/>
                <w:sz w:val="24"/>
              </w:rPr>
              <w:t>农产品交易市场建设项目：</w:t>
            </w:r>
            <w:r>
              <w:rPr>
                <w:rFonts w:hint="eastAsia" w:ascii="Times New Roman" w:hAnsi="Times New Roman" w:eastAsia="楷体"/>
                <w:sz w:val="24"/>
              </w:rPr>
              <w:t>总投资2500万元，主要建设内容为：在皮山县新建1个蔬菜交易市场，配套建设蔬菜交易大楼和产品展示中心，包括交易大厅、蔬果农残检测站、蔬菜临时仓储点、电子信息发布厅、电子结算中心、机房、办公用房等。</w:t>
            </w:r>
          </w:p>
          <w:p w14:paraId="58C791DC">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招商引资活动-农业农村领域补助项目</w:t>
            </w:r>
            <w:r>
              <w:rPr>
                <w:rFonts w:hint="eastAsia" w:ascii="Times New Roman" w:hAnsi="Times New Roman" w:eastAsia="楷体"/>
                <w:sz w:val="24"/>
              </w:rPr>
              <w:t>：总投资500万元，主要建设内容为：对农业、畜牧领域依法依规开展的招商引资活动、学习培训、农产品展销活动等给予补助，补助对象和标准应通过公开方式确定，不得针对特定企业或特定中介机构设立专项补助。每年补助100万元，五年共计500万元。通过招商引资活动，引进优质企业，促进农业农村领域产业升级发展。</w:t>
            </w:r>
          </w:p>
        </w:tc>
      </w:tr>
    </w:tbl>
    <w:p w14:paraId="6FF2745E">
      <w:pPr>
        <w:pStyle w:val="3"/>
        <w:widowControl/>
        <w:spacing w:before="0" w:after="0" w:line="600" w:lineRule="exact"/>
        <w:ind w:firstLine="562" w:firstLineChars="200"/>
        <w:rPr>
          <w:rFonts w:ascii="Arial" w:hAnsi="Arial" w:eastAsia="黑体"/>
          <w:bCs w:val="0"/>
          <w:kern w:val="0"/>
          <w:sz w:val="28"/>
          <w:szCs w:val="20"/>
        </w:rPr>
      </w:pPr>
      <w:bookmarkStart w:id="105" w:name="_Toc237987650"/>
      <w:r>
        <w:rPr>
          <w:rFonts w:hint="eastAsia" w:ascii="Arial" w:hAnsi="Arial" w:eastAsia="黑体"/>
          <w:bCs w:val="0"/>
          <w:kern w:val="0"/>
          <w:sz w:val="28"/>
          <w:szCs w:val="20"/>
        </w:rPr>
        <w:t>五、精深加工类</w:t>
      </w:r>
      <w:bookmarkEnd w:id="105"/>
    </w:p>
    <w:p w14:paraId="28E029DD">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依托现代农业产业园、加工物流园、电商孵化园等产地园区，通过公开招商程序引进具备精深加工能力的企业，建设设施农产品精深加工工程，开发果汁、饮料等产品，改造提升加工设备，建立废弃物综合利用设施。延伸产业链条，提升农产品附加值，带动加工和销售环节就业。该类别共谋划1个项目，总投资</w:t>
      </w:r>
      <w:r>
        <w:rPr>
          <w:rFonts w:ascii="Times New Roman" w:hAnsi="Times New Roman" w:eastAsia="仿宋_GB2312"/>
          <w:kern w:val="2"/>
          <w:sz w:val="28"/>
          <w:szCs w:val="28"/>
        </w:rPr>
        <w:t>50</w:t>
      </w:r>
      <w:r>
        <w:rPr>
          <w:rFonts w:hint="eastAsia" w:ascii="Times New Roman" w:hAnsi="Times New Roman" w:eastAsia="仿宋_GB2312"/>
          <w:kern w:val="2"/>
          <w:sz w:val="28"/>
          <w:szCs w:val="28"/>
        </w:rPr>
        <w:t>00万元。</w:t>
      </w:r>
    </w:p>
    <w:p w14:paraId="200DD840">
      <w:pPr>
        <w:pStyle w:val="3"/>
        <w:widowControl/>
        <w:spacing w:before="0" w:after="0" w:line="600" w:lineRule="exact"/>
        <w:ind w:firstLine="562" w:firstLineChars="200"/>
        <w:rPr>
          <w:rFonts w:ascii="Arial" w:hAnsi="Arial" w:eastAsia="黑体"/>
          <w:bCs w:val="0"/>
          <w:kern w:val="0"/>
          <w:sz w:val="28"/>
          <w:szCs w:val="20"/>
        </w:rPr>
      </w:pPr>
      <w:bookmarkStart w:id="106" w:name="_Toc237987651"/>
      <w:r>
        <w:rPr>
          <w:rFonts w:hint="eastAsia" w:ascii="Arial" w:hAnsi="Arial" w:eastAsia="黑体"/>
          <w:bCs w:val="0"/>
          <w:kern w:val="0"/>
          <w:sz w:val="28"/>
          <w:szCs w:val="20"/>
        </w:rPr>
        <w:t>六、农田建设类</w:t>
      </w:r>
      <w:bookmarkEnd w:id="106"/>
    </w:p>
    <w:p w14:paraId="3979A034">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包括高标准农田建设、土地碎片化治理，该类别共谋划</w:t>
      </w:r>
      <w:r>
        <w:rPr>
          <w:rFonts w:ascii="Times New Roman" w:hAnsi="Times New Roman" w:eastAsia="仿宋_GB2312"/>
          <w:kern w:val="2"/>
          <w:sz w:val="28"/>
          <w:szCs w:val="28"/>
        </w:rPr>
        <w:t>3</w:t>
      </w:r>
      <w:r>
        <w:rPr>
          <w:rFonts w:hint="eastAsia" w:ascii="Times New Roman" w:hAnsi="Times New Roman" w:eastAsia="仿宋_GB2312"/>
          <w:kern w:val="2"/>
          <w:sz w:val="28"/>
          <w:szCs w:val="28"/>
        </w:rPr>
        <w:t>个项目，总投资约</w:t>
      </w:r>
      <w:r>
        <w:rPr>
          <w:rFonts w:ascii="Times New Roman" w:hAnsi="Times New Roman" w:eastAsia="仿宋_GB2312"/>
          <w:kern w:val="2"/>
          <w:sz w:val="28"/>
          <w:szCs w:val="28"/>
        </w:rPr>
        <w:t>6.00</w:t>
      </w:r>
      <w:r>
        <w:rPr>
          <w:rFonts w:hint="eastAsia" w:ascii="Times New Roman" w:hAnsi="Times New Roman" w:eastAsia="仿宋_GB2312"/>
          <w:kern w:val="2"/>
          <w:sz w:val="28"/>
          <w:szCs w:val="28"/>
        </w:rPr>
        <w:t>亿元。</w:t>
      </w:r>
    </w:p>
    <w:p w14:paraId="3F23C560">
      <w:pPr>
        <w:pStyle w:val="4"/>
        <w:keepLines w:val="0"/>
        <w:topLinePunct/>
        <w:spacing w:before="0" w:after="0" w:line="540" w:lineRule="exact"/>
        <w:ind w:firstLine="590" w:firstLineChars="210"/>
        <w:rPr>
          <w:sz w:val="28"/>
          <w:szCs w:val="28"/>
        </w:rPr>
      </w:pPr>
      <w:bookmarkStart w:id="107" w:name="_Toc237987652"/>
      <w:r>
        <w:rPr>
          <w:rFonts w:hint="eastAsia"/>
          <w:sz w:val="28"/>
          <w:szCs w:val="28"/>
        </w:rPr>
        <w:t>（一）高标准农田建设类</w:t>
      </w:r>
      <w:bookmarkEnd w:id="107"/>
    </w:p>
    <w:p w14:paraId="64FAEF62">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在皮山县固玛镇、木奎拉乡、乔达乡、藏桂乡、皮亚勒玛乡、桑株镇6个乡镇，按照增地、节水为主要建设方向，坚持一平整、两突出、三畅通、四提升建设标准，实施高标准农田建设项目，总投资</w:t>
      </w:r>
      <w:r>
        <w:rPr>
          <w:rFonts w:ascii="Times New Roman" w:hAnsi="Times New Roman" w:eastAsia="仿宋_GB2312"/>
          <w:kern w:val="2"/>
          <w:sz w:val="28"/>
          <w:szCs w:val="28"/>
        </w:rPr>
        <w:t>20000</w:t>
      </w:r>
      <w:r>
        <w:rPr>
          <w:rFonts w:hint="eastAsia" w:ascii="Times New Roman" w:hAnsi="Times New Roman" w:eastAsia="仿宋_GB2312"/>
          <w:kern w:val="2"/>
          <w:sz w:val="28"/>
          <w:szCs w:val="28"/>
        </w:rPr>
        <w:t>万元。</w:t>
      </w:r>
    </w:p>
    <w:p w14:paraId="69A3047C">
      <w:pPr>
        <w:pStyle w:val="4"/>
        <w:keepLines w:val="0"/>
        <w:topLinePunct/>
        <w:spacing w:before="0" w:after="0" w:line="540" w:lineRule="exact"/>
        <w:ind w:firstLine="590" w:firstLineChars="210"/>
        <w:rPr>
          <w:sz w:val="28"/>
          <w:szCs w:val="28"/>
        </w:rPr>
      </w:pPr>
      <w:bookmarkStart w:id="108" w:name="_Toc237987653"/>
      <w:r>
        <w:rPr>
          <w:rFonts w:hint="eastAsia"/>
          <w:sz w:val="28"/>
          <w:szCs w:val="28"/>
        </w:rPr>
        <w:t>（二）土地碎片化治理类</w:t>
      </w:r>
      <w:bookmarkEnd w:id="108"/>
    </w:p>
    <w:p w14:paraId="6C5843C1">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通过土地平整、政策引导和资金扶持，鼓励农户之间进行土地流转和互换，将分散的小块土地整合成集中连片的大块土地，同时对适合特色种植的土地进行平整，为农业生产规模化、标准化、机械化发展创造良好基础。总投资40000万元。</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01C8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1AEA952B">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w:t>
            </w:r>
            <w:r>
              <w:rPr>
                <w:rFonts w:ascii="Times New Roman" w:hAnsi="Times New Roman" w:eastAsia="楷体"/>
                <w:b/>
                <w:bCs/>
                <w:sz w:val="28"/>
                <w:szCs w:val="28"/>
              </w:rPr>
              <w:t>1</w:t>
            </w:r>
            <w:r>
              <w:rPr>
                <w:rFonts w:hint="eastAsia" w:ascii="Times New Roman" w:hAnsi="Times New Roman" w:eastAsia="楷体"/>
                <w:b/>
                <w:bCs/>
                <w:sz w:val="28"/>
                <w:szCs w:val="28"/>
              </w:rPr>
              <w:t>4 土地碎片化治理类重点项目</w:t>
            </w:r>
          </w:p>
        </w:tc>
      </w:tr>
      <w:tr w14:paraId="0543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2DFAAEEF">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皮山县土地碎片化治理建设项目</w:t>
            </w:r>
            <w:r>
              <w:rPr>
                <w:rFonts w:hint="eastAsia" w:ascii="Times New Roman" w:hAnsi="Times New Roman" w:eastAsia="楷体"/>
                <w:sz w:val="24"/>
              </w:rPr>
              <w:t>：总投资20000万元，主要建设内容为：碎片土地整理5万亩，亩均投资4000元，主要包括土地平整、田间道路、配套水利设施建设等；其中2026年10000亩，2027年10000亩，2028年10000亩，2029年10000亩，2030年10000亩；配套建设碎片化治理、配水管网设施、田间道路设施、配套电力工程等，为农业生产规模化、标准化、机械化发展创造良田基础。</w:t>
            </w:r>
          </w:p>
          <w:p w14:paraId="5AA3E359">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皮山县特色种植基地-土地碎片化治理项目</w:t>
            </w:r>
            <w:r>
              <w:rPr>
                <w:rFonts w:hint="eastAsia" w:ascii="Times New Roman" w:hAnsi="Times New Roman" w:eastAsia="楷体"/>
                <w:sz w:val="24"/>
              </w:rPr>
              <w:t>：总投资20000万元，主要建设内容为：对皮山县范围内适合特色种植的5万亩土地进行平整，每年实施平整土地1万亩，并配套相关水利配套设施，用于农作物特色种植产业发展。</w:t>
            </w:r>
          </w:p>
        </w:tc>
      </w:tr>
    </w:tbl>
    <w:p w14:paraId="04BC41B5">
      <w:pPr>
        <w:pStyle w:val="24"/>
        <w:spacing w:after="0" w:line="580" w:lineRule="exact"/>
        <w:ind w:left="0" w:leftChars="0" w:firstLine="560" w:firstLineChars="200"/>
        <w:rPr>
          <w:rFonts w:ascii="Times New Roman" w:hAnsi="Times New Roman" w:eastAsia="仿宋_GB2312"/>
          <w:kern w:val="2"/>
          <w:sz w:val="28"/>
          <w:szCs w:val="28"/>
        </w:rPr>
      </w:pPr>
    </w:p>
    <w:p w14:paraId="575F9C8C">
      <w:pPr>
        <w:pStyle w:val="3"/>
        <w:widowControl/>
        <w:spacing w:before="0" w:after="0" w:line="600" w:lineRule="exact"/>
        <w:ind w:firstLine="562" w:firstLineChars="200"/>
        <w:rPr>
          <w:rFonts w:ascii="Arial" w:hAnsi="Arial" w:eastAsia="黑体"/>
          <w:bCs w:val="0"/>
          <w:kern w:val="0"/>
          <w:sz w:val="28"/>
          <w:szCs w:val="20"/>
        </w:rPr>
      </w:pPr>
      <w:bookmarkStart w:id="109" w:name="_Toc237987654"/>
      <w:r>
        <w:rPr>
          <w:rFonts w:hint="eastAsia" w:ascii="Arial" w:hAnsi="Arial" w:eastAsia="黑体"/>
          <w:bCs w:val="0"/>
          <w:kern w:val="0"/>
          <w:sz w:val="28"/>
          <w:szCs w:val="20"/>
        </w:rPr>
        <w:t>七、盐碱地综合开发利用类</w:t>
      </w:r>
      <w:bookmarkEnd w:id="109"/>
    </w:p>
    <w:p w14:paraId="041A33BC">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在藏桂乡、科克铁热克镇、木吉镇、皮西那乡、木奎拉乡、皮亚勒玛乡等6个乡镇盐碱耕地，通过灌排水系统建设，土地平整，土壤改良，种植结构优化及智慧农业平台建设等措施盐碱地治理措施治理约8.18万亩盐碱地，改良盐碱耕地，提升土地利用效率和农业产出。总投资</w:t>
      </w:r>
      <w:r>
        <w:rPr>
          <w:rFonts w:ascii="Times New Roman" w:hAnsi="Times New Roman" w:eastAsia="仿宋_GB2312"/>
          <w:kern w:val="2"/>
          <w:sz w:val="28"/>
          <w:szCs w:val="28"/>
        </w:rPr>
        <w:t>4088</w:t>
      </w:r>
      <w:r>
        <w:rPr>
          <w:rFonts w:hint="eastAsia" w:ascii="Times New Roman" w:hAnsi="Times New Roman" w:eastAsia="仿宋_GB2312"/>
          <w:kern w:val="2"/>
          <w:sz w:val="28"/>
          <w:szCs w:val="28"/>
        </w:rPr>
        <w:t>7万元。</w:t>
      </w:r>
    </w:p>
    <w:p w14:paraId="4C31CC8B">
      <w:pPr>
        <w:pStyle w:val="3"/>
        <w:widowControl/>
        <w:spacing w:before="0" w:after="0" w:line="600" w:lineRule="exact"/>
        <w:ind w:firstLine="562" w:firstLineChars="200"/>
        <w:rPr>
          <w:rFonts w:ascii="Arial" w:hAnsi="Arial" w:eastAsia="黑体"/>
          <w:bCs w:val="0"/>
          <w:kern w:val="0"/>
          <w:sz w:val="28"/>
          <w:szCs w:val="20"/>
        </w:rPr>
      </w:pPr>
      <w:bookmarkStart w:id="110" w:name="_Toc237987655"/>
      <w:r>
        <w:rPr>
          <w:rFonts w:hint="eastAsia" w:ascii="Arial" w:hAnsi="Arial" w:eastAsia="黑体"/>
          <w:bCs w:val="0"/>
          <w:kern w:val="0"/>
          <w:sz w:val="28"/>
          <w:szCs w:val="20"/>
        </w:rPr>
        <w:t>八、和美乡村建设类</w:t>
      </w:r>
      <w:bookmarkEnd w:id="110"/>
    </w:p>
    <w:p w14:paraId="062CFA38">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深入推进和美乡村建设，改善农村人居环境，提升农村基础设施和公共服务水平，建设宜居宜业的现代新农村。该类别共谋划5个项目，总投资74000万元。</w:t>
      </w:r>
    </w:p>
    <w:tbl>
      <w:tblPr>
        <w:tblStyle w:val="25"/>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341E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03EACBBE">
            <w:pPr>
              <w:pStyle w:val="24"/>
              <w:spacing w:after="0" w:line="500" w:lineRule="exact"/>
              <w:ind w:left="0" w:leftChars="0" w:firstLine="0"/>
              <w:jc w:val="center"/>
              <w:rPr>
                <w:rFonts w:ascii="Times New Roman" w:hAnsi="Times New Roman" w:eastAsia="仿宋"/>
                <w:sz w:val="28"/>
                <w:szCs w:val="28"/>
              </w:rPr>
            </w:pPr>
            <w:r>
              <w:rPr>
                <w:rFonts w:hint="eastAsia" w:ascii="Times New Roman" w:hAnsi="Times New Roman" w:eastAsia="楷体"/>
                <w:b/>
                <w:bCs/>
                <w:sz w:val="28"/>
                <w:szCs w:val="28"/>
              </w:rPr>
              <w:t>专栏</w:t>
            </w:r>
            <w:r>
              <w:rPr>
                <w:rFonts w:ascii="Times New Roman" w:hAnsi="Times New Roman" w:eastAsia="楷体"/>
                <w:b/>
                <w:bCs/>
                <w:sz w:val="28"/>
                <w:szCs w:val="28"/>
              </w:rPr>
              <w:t>1</w:t>
            </w:r>
            <w:r>
              <w:rPr>
                <w:rFonts w:hint="eastAsia" w:ascii="Times New Roman" w:hAnsi="Times New Roman" w:eastAsia="楷体"/>
                <w:b/>
                <w:bCs/>
                <w:sz w:val="28"/>
                <w:szCs w:val="28"/>
              </w:rPr>
              <w:t>5</w:t>
            </w:r>
            <w:r>
              <w:rPr>
                <w:rFonts w:ascii="Times New Roman" w:hAnsi="Times New Roman" w:eastAsia="楷体"/>
                <w:b/>
                <w:bCs/>
                <w:sz w:val="28"/>
                <w:szCs w:val="28"/>
              </w:rPr>
              <w:t xml:space="preserve"> </w:t>
            </w:r>
            <w:r>
              <w:rPr>
                <w:rFonts w:hint="eastAsia" w:ascii="Times New Roman" w:hAnsi="Times New Roman" w:eastAsia="楷体"/>
                <w:b/>
                <w:bCs/>
                <w:sz w:val="28"/>
                <w:szCs w:val="28"/>
              </w:rPr>
              <w:t>和美乡村建设类重点项目</w:t>
            </w:r>
          </w:p>
        </w:tc>
      </w:tr>
      <w:tr w14:paraId="0566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8" w:type="dxa"/>
            <w:tcBorders>
              <w:top w:val="single" w:color="auto" w:sz="4" w:space="0"/>
              <w:left w:val="single" w:color="auto" w:sz="4" w:space="0"/>
              <w:bottom w:val="single" w:color="auto" w:sz="4" w:space="0"/>
              <w:right w:val="single" w:color="auto" w:sz="4" w:space="0"/>
            </w:tcBorders>
            <w:vAlign w:val="center"/>
          </w:tcPr>
          <w:p w14:paraId="039CFADD">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皮山县农村人居环境整治项目</w:t>
            </w:r>
            <w:r>
              <w:rPr>
                <w:rFonts w:hint="eastAsia" w:ascii="Times New Roman" w:hAnsi="Times New Roman" w:eastAsia="楷体"/>
                <w:sz w:val="24"/>
              </w:rPr>
              <w:t>：总投资15000万元，主要建设内容为：针对皮山县农业户籍人员，历年来未享受过人居环境整治项目政策的脱贫户和农业户籍人员，围绕本区域内住户三区分离及庭院整治、厨房及户厕改造等方面，根据农户实际需求，按照三区分离及庭院整治1500元/户、厨房改造1200元/户、旱厕改造3000元/户、水厕改造1200元/户的标准实施，每户所有项目均实施累计享受资金最高不超过5000元。</w:t>
            </w:r>
          </w:p>
          <w:p w14:paraId="13FE98FD">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皮山县农村污水处理排水管网建设项目</w:t>
            </w:r>
            <w:r>
              <w:rPr>
                <w:rFonts w:hint="eastAsia" w:ascii="Times New Roman" w:hAnsi="Times New Roman" w:eastAsia="楷体"/>
                <w:sz w:val="24"/>
              </w:rPr>
              <w:t>：总投资25000万元，主要建设内容为：在15个乡镇中心区域建设污水排水管网250公里及相关附属配套建设，提高农村污水处理能力，减少污水对土壤和水源的污染；其中2026年3个乡镇，2027年3个乡镇，2028年3个乡镇，2029年3个乡镇，2030年3个乡镇；主管道为DN300，分管道为DN200，入户管道为DN100（材质为HDPE波纹管）。</w:t>
            </w:r>
          </w:p>
          <w:p w14:paraId="1B129EA0">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皮山县山区乡镇牧道建设项目</w:t>
            </w:r>
            <w:r>
              <w:rPr>
                <w:rFonts w:hint="eastAsia" w:ascii="Times New Roman" w:hAnsi="Times New Roman" w:eastAsia="楷体"/>
                <w:sz w:val="24"/>
              </w:rPr>
              <w:t>：总投资5000万元，主要建设内容为：新建牧道、牧桥，牲畜过冬周转草场放哨房，周转区建设等；主要建设地点为康克尔乡、桑株镇、克里阳乡、塔吉克乡、杜瓦镇、巴什兰干乡等乡镇；每年投入1000万元。</w:t>
            </w:r>
          </w:p>
          <w:p w14:paraId="5276A565">
            <w:pPr>
              <w:pStyle w:val="24"/>
              <w:spacing w:after="0" w:line="400" w:lineRule="exact"/>
              <w:ind w:left="0" w:leftChars="0" w:firstLine="482" w:firstLineChars="200"/>
              <w:rPr>
                <w:rFonts w:ascii="Times New Roman" w:hAnsi="Times New Roman" w:eastAsia="楷体"/>
                <w:sz w:val="24"/>
              </w:rPr>
            </w:pPr>
            <w:r>
              <w:rPr>
                <w:rFonts w:hint="eastAsia" w:ascii="Times New Roman" w:hAnsi="Times New Roman" w:eastAsia="楷体"/>
                <w:b/>
                <w:sz w:val="24"/>
              </w:rPr>
              <w:t>皮山县示范村建设项目</w:t>
            </w:r>
            <w:r>
              <w:rPr>
                <w:rFonts w:hint="eastAsia" w:ascii="Times New Roman" w:hAnsi="Times New Roman" w:eastAsia="楷体"/>
                <w:sz w:val="24"/>
              </w:rPr>
              <w:t>：总投资20000万元，主要建设内容为：按照示范村创建“8大类29项指标”要求，对皮山县具备创建示范村条件的20个村进行建设，每年实施4个村，每个村投入1000万元；结合援疆省市特点，以产业发展、农户增收、人居环境整治、补齐基础设施短板等方面实施项目，打造新时代援疆工作乡村振兴示范村。</w:t>
            </w:r>
          </w:p>
          <w:p w14:paraId="79A9E199">
            <w:pPr>
              <w:pStyle w:val="24"/>
              <w:spacing w:after="0" w:line="400" w:lineRule="exact"/>
              <w:ind w:left="0" w:leftChars="0" w:firstLine="482" w:firstLineChars="200"/>
              <w:rPr>
                <w:rFonts w:ascii="Times New Roman" w:hAnsi="Times New Roman" w:eastAsia="仿宋"/>
                <w:sz w:val="28"/>
                <w:szCs w:val="28"/>
              </w:rPr>
            </w:pPr>
            <w:r>
              <w:rPr>
                <w:rFonts w:hint="eastAsia" w:ascii="Times New Roman" w:hAnsi="Times New Roman" w:eastAsia="楷体"/>
                <w:b/>
                <w:sz w:val="24"/>
              </w:rPr>
              <w:t>皮山县和美乡村建设项目</w:t>
            </w:r>
            <w:r>
              <w:rPr>
                <w:rFonts w:hint="eastAsia" w:ascii="Times New Roman" w:hAnsi="Times New Roman" w:eastAsia="楷体"/>
                <w:sz w:val="24"/>
              </w:rPr>
              <w:t>：总投资9000万元，主要建设内容为：安装太阳能路灯20000盏，每盏3000元，方便群众出行，美化人居环境，提升农村生活品质。</w:t>
            </w:r>
          </w:p>
        </w:tc>
      </w:tr>
    </w:tbl>
    <w:p w14:paraId="6CAC9BCD">
      <w:pPr>
        <w:pStyle w:val="24"/>
        <w:spacing w:after="0" w:line="580" w:lineRule="exact"/>
        <w:ind w:left="0" w:leftChars="0" w:firstLine="560" w:firstLineChars="200"/>
        <w:rPr>
          <w:rFonts w:ascii="Times New Roman" w:hAnsi="Times New Roman" w:eastAsia="仿宋_GB2312"/>
          <w:kern w:val="2"/>
          <w:sz w:val="28"/>
          <w:szCs w:val="28"/>
        </w:rPr>
      </w:pPr>
    </w:p>
    <w:p w14:paraId="33634264">
      <w:pPr>
        <w:pStyle w:val="3"/>
        <w:widowControl/>
        <w:spacing w:before="0" w:after="0" w:line="600" w:lineRule="exact"/>
        <w:ind w:firstLine="562" w:firstLineChars="200"/>
        <w:rPr>
          <w:rFonts w:ascii="Arial" w:hAnsi="Arial" w:eastAsia="黑体"/>
          <w:bCs w:val="0"/>
          <w:kern w:val="0"/>
          <w:sz w:val="28"/>
          <w:szCs w:val="20"/>
        </w:rPr>
      </w:pPr>
      <w:bookmarkStart w:id="111" w:name="_Toc237987656"/>
      <w:r>
        <w:rPr>
          <w:rFonts w:hint="eastAsia" w:ascii="Arial" w:hAnsi="Arial" w:eastAsia="黑体"/>
          <w:bCs w:val="0"/>
          <w:kern w:val="0"/>
          <w:sz w:val="28"/>
          <w:szCs w:val="20"/>
        </w:rPr>
        <w:t>九、分年度项目建设计划</w:t>
      </w:r>
      <w:bookmarkEnd w:id="111"/>
    </w:p>
    <w:p w14:paraId="29F41576">
      <w:pPr>
        <w:pStyle w:val="24"/>
        <w:spacing w:after="0" w:line="580" w:lineRule="exact"/>
        <w:ind w:left="0" w:leftChars="0" w:firstLine="560" w:firstLineChars="200"/>
        <w:rPr>
          <w:rFonts w:ascii="Times New Roman" w:hAnsi="Times New Roman" w:eastAsia="仿宋_GB2312"/>
          <w:kern w:val="2"/>
          <w:sz w:val="28"/>
          <w:szCs w:val="28"/>
        </w:rPr>
      </w:pPr>
      <w:r>
        <w:rPr>
          <w:rFonts w:hint="eastAsia" w:ascii="Times New Roman" w:hAnsi="Times New Roman" w:eastAsia="仿宋_GB2312"/>
          <w:kern w:val="2"/>
          <w:sz w:val="28"/>
          <w:szCs w:val="28"/>
        </w:rPr>
        <w:t>按照“前期项目抓储备、新建项目抓开工、续建项目抓进度”的要求，分年度安排如下：</w:t>
      </w:r>
    </w:p>
    <w:p w14:paraId="5720CB77">
      <w:pPr>
        <w:spacing w:line="580" w:lineRule="exact"/>
        <w:jc w:val="center"/>
        <w:rPr>
          <w:sz w:val="28"/>
          <w:szCs w:val="28"/>
        </w:rPr>
      </w:pPr>
      <w:r>
        <w:rPr>
          <w:rFonts w:hint="eastAsia"/>
          <w:b/>
          <w:sz w:val="28"/>
        </w:rPr>
        <w:t>表5-1</w:t>
      </w:r>
      <w:r>
        <w:rPr>
          <w:b/>
          <w:sz w:val="28"/>
        </w:rPr>
        <w:t xml:space="preserve"> </w:t>
      </w:r>
      <w:r>
        <w:rPr>
          <w:rFonts w:hint="eastAsia"/>
          <w:b/>
          <w:sz w:val="28"/>
        </w:rPr>
        <w:t>皮山县“十五五”期间分年度项目建设计划表</w:t>
      </w:r>
    </w:p>
    <w:tbl>
      <w:tblPr>
        <w:tblStyle w:val="25"/>
        <w:tblW w:w="8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1574"/>
        <w:gridCol w:w="6154"/>
      </w:tblGrid>
      <w:tr w14:paraId="3075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blHeader/>
        </w:trPr>
        <w:tc>
          <w:tcPr>
            <w:tcW w:w="1111" w:type="dxa"/>
            <w:vAlign w:val="center"/>
          </w:tcPr>
          <w:p w14:paraId="40F687ED">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年度</w:t>
            </w:r>
          </w:p>
        </w:tc>
        <w:tc>
          <w:tcPr>
            <w:tcW w:w="1574" w:type="dxa"/>
            <w:vAlign w:val="center"/>
          </w:tcPr>
          <w:p w14:paraId="32B32FAA">
            <w:pPr>
              <w:pStyle w:val="24"/>
              <w:widowControl/>
              <w:spacing w:after="0" w:line="0" w:lineRule="atLeast"/>
              <w:ind w:left="0" w:leftChars="0" w:firstLine="0"/>
              <w:jc w:val="center"/>
              <w:rPr>
                <w:rFonts w:ascii="宋体" w:hAnsi="宋体" w:cs="宋体"/>
                <w:b/>
                <w:bCs/>
                <w:sz w:val="18"/>
                <w:szCs w:val="18"/>
              </w:rPr>
            </w:pPr>
            <w:r>
              <w:rPr>
                <w:rFonts w:hint="eastAsia" w:ascii="宋体" w:hAnsi="宋体" w:cs="宋体"/>
                <w:b/>
                <w:bCs/>
                <w:sz w:val="18"/>
                <w:szCs w:val="18"/>
              </w:rPr>
              <w:t>计划完成投资</w:t>
            </w:r>
          </w:p>
          <w:p w14:paraId="7F98C498">
            <w:pPr>
              <w:pStyle w:val="24"/>
              <w:widowControl/>
              <w:spacing w:after="0" w:line="0" w:lineRule="atLeast"/>
              <w:ind w:left="0" w:leftChars="0" w:firstLine="0"/>
              <w:jc w:val="center"/>
              <w:rPr>
                <w:rFonts w:ascii="宋体" w:hAnsi="宋体" w:cs="宋体"/>
                <w:b/>
                <w:bCs/>
                <w:sz w:val="18"/>
                <w:szCs w:val="18"/>
              </w:rPr>
            </w:pPr>
            <w:r>
              <w:rPr>
                <w:rFonts w:hint="eastAsia" w:ascii="宋体" w:hAnsi="宋体" w:cs="宋体"/>
                <w:b/>
                <w:bCs/>
                <w:sz w:val="18"/>
                <w:szCs w:val="18"/>
              </w:rPr>
              <w:t>（亿元）</w:t>
            </w:r>
          </w:p>
        </w:tc>
        <w:tc>
          <w:tcPr>
            <w:tcW w:w="6154" w:type="dxa"/>
            <w:vAlign w:val="center"/>
          </w:tcPr>
          <w:p w14:paraId="09DCD7C8">
            <w:pPr>
              <w:widowControl/>
              <w:spacing w:line="0" w:lineRule="atLeast"/>
              <w:jc w:val="center"/>
              <w:rPr>
                <w:rFonts w:ascii="宋体" w:hAnsi="宋体" w:eastAsia="宋体" w:cs="宋体"/>
                <w:b/>
                <w:bCs/>
                <w:kern w:val="0"/>
                <w:sz w:val="18"/>
                <w:szCs w:val="18"/>
              </w:rPr>
            </w:pPr>
            <w:r>
              <w:rPr>
                <w:rFonts w:hint="eastAsia" w:ascii="宋体" w:hAnsi="宋体" w:eastAsia="宋体" w:cs="宋体"/>
                <w:b/>
                <w:bCs/>
                <w:kern w:val="0"/>
                <w:sz w:val="18"/>
                <w:szCs w:val="18"/>
              </w:rPr>
              <w:t>重点建设方向</w:t>
            </w:r>
          </w:p>
        </w:tc>
      </w:tr>
      <w:tr w14:paraId="7A04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7B9F957E">
            <w:pPr>
              <w:jc w:val="center"/>
              <w:rPr>
                <w:sz w:val="21"/>
                <w:szCs w:val="21"/>
              </w:rPr>
            </w:pPr>
            <w:r>
              <w:rPr>
                <w:rFonts w:hint="eastAsia"/>
                <w:sz w:val="21"/>
                <w:szCs w:val="21"/>
              </w:rPr>
              <w:t>2026年</w:t>
            </w:r>
          </w:p>
        </w:tc>
        <w:tc>
          <w:tcPr>
            <w:tcW w:w="1574" w:type="dxa"/>
            <w:vAlign w:val="center"/>
          </w:tcPr>
          <w:p w14:paraId="51FC3950">
            <w:pPr>
              <w:jc w:val="center"/>
              <w:rPr>
                <w:sz w:val="21"/>
                <w:szCs w:val="21"/>
              </w:rPr>
            </w:pPr>
            <w:r>
              <w:rPr>
                <w:sz w:val="21"/>
                <w:szCs w:val="21"/>
              </w:rPr>
              <w:t>18.50</w:t>
            </w:r>
          </w:p>
        </w:tc>
        <w:tc>
          <w:tcPr>
            <w:tcW w:w="6154" w:type="dxa"/>
          </w:tcPr>
          <w:p w14:paraId="2403B9C3">
            <w:pPr>
              <w:rPr>
                <w:sz w:val="21"/>
                <w:szCs w:val="21"/>
              </w:rPr>
            </w:pPr>
            <w:r>
              <w:rPr>
                <w:rFonts w:hint="eastAsia"/>
                <w:sz w:val="21"/>
                <w:szCs w:val="21"/>
              </w:rPr>
              <w:t>高标准农田1万亩、土地碎片化治理1万亩、盐碱地治理启动、设施农业大棚新建150座、瓜蒌种植扩至5万亩、产业到户奖补启动等。</w:t>
            </w:r>
          </w:p>
        </w:tc>
      </w:tr>
      <w:tr w14:paraId="6BF9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26085CDA">
            <w:pPr>
              <w:jc w:val="center"/>
              <w:rPr>
                <w:sz w:val="21"/>
                <w:szCs w:val="21"/>
              </w:rPr>
            </w:pPr>
            <w:r>
              <w:rPr>
                <w:rFonts w:hint="eastAsia"/>
                <w:sz w:val="21"/>
                <w:szCs w:val="21"/>
              </w:rPr>
              <w:t>2027年</w:t>
            </w:r>
          </w:p>
        </w:tc>
        <w:tc>
          <w:tcPr>
            <w:tcW w:w="1574" w:type="dxa"/>
            <w:vAlign w:val="center"/>
          </w:tcPr>
          <w:p w14:paraId="670B0875">
            <w:pPr>
              <w:jc w:val="center"/>
              <w:rPr>
                <w:sz w:val="21"/>
                <w:szCs w:val="21"/>
              </w:rPr>
            </w:pPr>
            <w:r>
              <w:rPr>
                <w:sz w:val="21"/>
                <w:szCs w:val="21"/>
              </w:rPr>
              <w:t>19.20</w:t>
            </w:r>
          </w:p>
        </w:tc>
        <w:tc>
          <w:tcPr>
            <w:tcW w:w="6154" w:type="dxa"/>
          </w:tcPr>
          <w:p w14:paraId="07E7EAAF">
            <w:pPr>
              <w:rPr>
                <w:sz w:val="21"/>
                <w:szCs w:val="21"/>
              </w:rPr>
            </w:pPr>
            <w:r>
              <w:rPr>
                <w:rFonts w:hint="eastAsia"/>
                <w:sz w:val="21"/>
                <w:szCs w:val="21"/>
              </w:rPr>
              <w:t>高标准农田1万亩、土地碎片化治理1万亩、盐碱地治理持续推进、设施农业大棚新建200座、瓜蒌种植扩至7万亩、葛根试种启动、育种创新中心建设等。</w:t>
            </w:r>
          </w:p>
        </w:tc>
      </w:tr>
      <w:tr w14:paraId="415C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007D032E">
            <w:pPr>
              <w:jc w:val="center"/>
              <w:rPr>
                <w:sz w:val="21"/>
                <w:szCs w:val="21"/>
              </w:rPr>
            </w:pPr>
            <w:r>
              <w:rPr>
                <w:rFonts w:hint="eastAsia"/>
                <w:sz w:val="21"/>
                <w:szCs w:val="21"/>
              </w:rPr>
              <w:t>2028年</w:t>
            </w:r>
          </w:p>
        </w:tc>
        <w:tc>
          <w:tcPr>
            <w:tcW w:w="1574" w:type="dxa"/>
            <w:vAlign w:val="center"/>
          </w:tcPr>
          <w:p w14:paraId="6D3B91DB">
            <w:pPr>
              <w:jc w:val="center"/>
              <w:rPr>
                <w:sz w:val="21"/>
                <w:szCs w:val="21"/>
              </w:rPr>
            </w:pPr>
            <w:r>
              <w:rPr>
                <w:sz w:val="21"/>
                <w:szCs w:val="21"/>
              </w:rPr>
              <w:t>17.80</w:t>
            </w:r>
          </w:p>
        </w:tc>
        <w:tc>
          <w:tcPr>
            <w:tcW w:w="6154" w:type="dxa"/>
          </w:tcPr>
          <w:p w14:paraId="280FF9E0">
            <w:pPr>
              <w:rPr>
                <w:sz w:val="21"/>
                <w:szCs w:val="21"/>
              </w:rPr>
            </w:pPr>
            <w:r>
              <w:rPr>
                <w:rFonts w:hint="eastAsia"/>
                <w:sz w:val="21"/>
                <w:szCs w:val="21"/>
              </w:rPr>
              <w:t>高标准农田1万亩、土地碎片化治理1万亩、设施农业大棚新建200座、瓜蒌种植扩至8.5万亩、葛根核心示范区3万亩、现代农业产业园主体完工、</w:t>
            </w:r>
            <w:r>
              <w:rPr>
                <w:rFonts w:ascii="Segoe UI" w:hAnsi="Segoe UI" w:cs="Segoe UI"/>
                <w:spacing w:val="8"/>
                <w:sz w:val="21"/>
                <w:szCs w:val="21"/>
                <w:shd w:val="clear" w:color="auto" w:fill="FFFFFF"/>
              </w:rPr>
              <w:t>瓜蒌深加工启动等</w:t>
            </w:r>
            <w:r>
              <w:rPr>
                <w:rFonts w:hint="eastAsia"/>
                <w:sz w:val="21"/>
                <w:szCs w:val="21"/>
              </w:rPr>
              <w:t>。</w:t>
            </w:r>
          </w:p>
        </w:tc>
      </w:tr>
      <w:tr w14:paraId="3D0D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225B0C81">
            <w:pPr>
              <w:jc w:val="center"/>
              <w:rPr>
                <w:sz w:val="21"/>
                <w:szCs w:val="21"/>
              </w:rPr>
            </w:pPr>
            <w:r>
              <w:rPr>
                <w:rFonts w:hint="eastAsia"/>
                <w:sz w:val="21"/>
                <w:szCs w:val="21"/>
              </w:rPr>
              <w:t>2029年</w:t>
            </w:r>
          </w:p>
        </w:tc>
        <w:tc>
          <w:tcPr>
            <w:tcW w:w="1574" w:type="dxa"/>
            <w:vAlign w:val="center"/>
          </w:tcPr>
          <w:p w14:paraId="624F516F">
            <w:pPr>
              <w:jc w:val="center"/>
              <w:rPr>
                <w:sz w:val="21"/>
                <w:szCs w:val="21"/>
              </w:rPr>
            </w:pPr>
            <w:r>
              <w:rPr>
                <w:sz w:val="21"/>
                <w:szCs w:val="21"/>
              </w:rPr>
              <w:t>15.50</w:t>
            </w:r>
          </w:p>
        </w:tc>
        <w:tc>
          <w:tcPr>
            <w:tcW w:w="6154" w:type="dxa"/>
          </w:tcPr>
          <w:p w14:paraId="6C649C6B">
            <w:pPr>
              <w:rPr>
                <w:sz w:val="21"/>
                <w:szCs w:val="21"/>
              </w:rPr>
            </w:pPr>
            <w:r>
              <w:rPr>
                <w:rFonts w:hint="eastAsia"/>
                <w:sz w:val="21"/>
                <w:szCs w:val="21"/>
              </w:rPr>
              <w:t>高标准农田1万亩、土地碎片化治理1万亩、葛根种植扩至4万亩、设施农业大棚新建150座、瓜蒌种植扩至9.5万亩、冷链物流中心建成、畜产品加工园区投产等。</w:t>
            </w:r>
          </w:p>
        </w:tc>
      </w:tr>
      <w:tr w14:paraId="043A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71805595">
            <w:pPr>
              <w:jc w:val="center"/>
              <w:rPr>
                <w:sz w:val="21"/>
                <w:szCs w:val="21"/>
              </w:rPr>
            </w:pPr>
            <w:r>
              <w:rPr>
                <w:rFonts w:hint="eastAsia"/>
                <w:sz w:val="21"/>
                <w:szCs w:val="21"/>
              </w:rPr>
              <w:t>2030年</w:t>
            </w:r>
          </w:p>
        </w:tc>
        <w:tc>
          <w:tcPr>
            <w:tcW w:w="1574" w:type="dxa"/>
            <w:vAlign w:val="center"/>
          </w:tcPr>
          <w:p w14:paraId="51E03277">
            <w:pPr>
              <w:jc w:val="center"/>
              <w:rPr>
                <w:sz w:val="21"/>
                <w:szCs w:val="21"/>
              </w:rPr>
            </w:pPr>
            <w:r>
              <w:rPr>
                <w:sz w:val="21"/>
                <w:szCs w:val="21"/>
              </w:rPr>
              <w:t>12.11</w:t>
            </w:r>
          </w:p>
        </w:tc>
        <w:tc>
          <w:tcPr>
            <w:tcW w:w="6154" w:type="dxa"/>
          </w:tcPr>
          <w:p w14:paraId="552029FD">
            <w:pPr>
              <w:rPr>
                <w:sz w:val="21"/>
                <w:szCs w:val="21"/>
              </w:rPr>
            </w:pPr>
            <w:r>
              <w:rPr>
                <w:rFonts w:hint="eastAsia"/>
                <w:sz w:val="21"/>
                <w:szCs w:val="21"/>
              </w:rPr>
              <w:t>高标准农田1万亩、土地碎片化治理1万亩、盐碱地治理1.63万亩、设施农业大棚续建及智能化改造、瓜蒌达10万亩、葛根达5万亩、品牌培育与市场开拓等。</w:t>
            </w:r>
          </w:p>
        </w:tc>
      </w:tr>
    </w:tbl>
    <w:p w14:paraId="431CEFA7">
      <w:pPr>
        <w:pStyle w:val="24"/>
        <w:spacing w:after="0" w:line="580" w:lineRule="exact"/>
        <w:ind w:left="0" w:leftChars="0" w:firstLine="560" w:firstLineChars="200"/>
        <w:rPr>
          <w:rFonts w:ascii="Times New Roman" w:hAnsi="Times New Roman" w:eastAsia="仿宋_GB2312"/>
          <w:kern w:val="2"/>
          <w:sz w:val="28"/>
          <w:szCs w:val="28"/>
        </w:rPr>
      </w:pPr>
    </w:p>
    <w:p w14:paraId="16CDCA55">
      <w:pPr>
        <w:widowControl/>
        <w:jc w:val="left"/>
        <w:rPr>
          <w:rFonts w:eastAsia="宋体"/>
          <w:b/>
          <w:kern w:val="44"/>
          <w:szCs w:val="20"/>
        </w:rPr>
      </w:pPr>
      <w:r>
        <w:rPr>
          <w:rFonts w:eastAsia="宋体"/>
          <w:b/>
          <w:szCs w:val="20"/>
        </w:rPr>
        <w:br w:type="page"/>
      </w:r>
    </w:p>
    <w:p w14:paraId="041568E2">
      <w:pPr>
        <w:pStyle w:val="2"/>
        <w:widowControl/>
        <w:spacing w:line="600" w:lineRule="exact"/>
        <w:jc w:val="center"/>
        <w:rPr>
          <w:rFonts w:ascii="Times New Roman" w:hAnsi="Times New Roman" w:eastAsia="宋体"/>
          <w:b/>
          <w:sz w:val="32"/>
          <w:szCs w:val="20"/>
        </w:rPr>
      </w:pPr>
      <w:bookmarkStart w:id="112" w:name="_Toc237987657"/>
      <w:r>
        <w:rPr>
          <w:rFonts w:hint="eastAsia" w:ascii="Times New Roman" w:hAnsi="Times New Roman" w:eastAsia="宋体"/>
          <w:b/>
          <w:sz w:val="32"/>
          <w:szCs w:val="20"/>
        </w:rPr>
        <w:t>第六章</w:t>
      </w:r>
      <w:bookmarkStart w:id="113" w:name="OLE_LINK22"/>
      <w:r>
        <w:rPr>
          <w:rFonts w:hint="eastAsia" w:ascii="Times New Roman" w:hAnsi="Times New Roman" w:eastAsia="宋体"/>
          <w:b/>
          <w:sz w:val="32"/>
          <w:szCs w:val="20"/>
        </w:rPr>
        <w:t xml:space="preserve"> 保障措施</w:t>
      </w:r>
      <w:bookmarkEnd w:id="112"/>
      <w:bookmarkEnd w:id="113"/>
    </w:p>
    <w:p w14:paraId="5BA8BFDA">
      <w:pPr>
        <w:pStyle w:val="3"/>
        <w:widowControl/>
        <w:spacing w:before="0" w:after="0" w:line="600" w:lineRule="exact"/>
        <w:ind w:firstLine="562" w:firstLineChars="200"/>
        <w:rPr>
          <w:rFonts w:ascii="Arial" w:hAnsi="Arial" w:eastAsia="黑体"/>
          <w:bCs w:val="0"/>
          <w:kern w:val="0"/>
          <w:sz w:val="28"/>
          <w:szCs w:val="20"/>
        </w:rPr>
      </w:pPr>
      <w:bookmarkStart w:id="114" w:name="_Toc237987658"/>
      <w:r>
        <w:rPr>
          <w:rFonts w:hint="eastAsia" w:ascii="Arial" w:hAnsi="Arial" w:eastAsia="黑体"/>
          <w:bCs w:val="0"/>
          <w:kern w:val="0"/>
          <w:sz w:val="28"/>
          <w:szCs w:val="20"/>
        </w:rPr>
        <w:t>一、加强组织领导</w:t>
      </w:r>
      <w:bookmarkEnd w:id="114"/>
    </w:p>
    <w:p w14:paraId="214B8228">
      <w:pPr>
        <w:spacing w:line="580" w:lineRule="exact"/>
        <w:ind w:firstLine="560" w:firstLineChars="200"/>
        <w:rPr>
          <w:sz w:val="28"/>
        </w:rPr>
      </w:pPr>
      <w:r>
        <w:rPr>
          <w:rFonts w:hint="eastAsia"/>
          <w:sz w:val="28"/>
        </w:rPr>
        <w:t>将粮食安全纳入皮山县各级党政领导核心职责，建立健全考核机制，制定专项考核办法，设定科学考核指标，如约束性指标（耕地保有量、永久基本农田保护面积、粮食播种面积、粮食产量、地方粮食储备规模落实率等）、重点任务指标（高标准农田建设任务完成情况、水利设施维护与利用效率、种业发展成效、科技兴农措施落实、惠农资金兑付及时性、粮食仓储设施达标率、市场监测预警有效性、应急演练与保供能力、节粮减损措施成效等）、评价性指标（粮食质量安全抽检合格率、涉粮领域违法违规案件查处情况、群众满意度等），优化考核方式（年度考核与日常督查相结合，综合运用数据核查、实地检查、随机抽查、第三方评估、审计监督、群众评议等多种方式，充分利用信息化手段），强化结果运用，将考核结果纳入领导干部政绩考核体系，与干部选拔任用、评</w:t>
      </w:r>
      <w:r>
        <w:rPr>
          <w:rFonts w:hint="eastAsia"/>
          <w:sz w:val="28"/>
          <w:lang w:eastAsia="zh-CN"/>
        </w:rPr>
        <w:t>先</w:t>
      </w:r>
      <w:r>
        <w:rPr>
          <w:rFonts w:hint="eastAsia"/>
          <w:sz w:val="28"/>
        </w:rPr>
        <w:t>评</w:t>
      </w:r>
      <w:r>
        <w:rPr>
          <w:rFonts w:hint="eastAsia"/>
          <w:sz w:val="28"/>
          <w:lang w:eastAsia="zh-CN"/>
        </w:rPr>
        <w:t>优</w:t>
      </w:r>
      <w:r>
        <w:rPr>
          <w:rFonts w:hint="eastAsia"/>
          <w:sz w:val="28"/>
        </w:rPr>
        <w:t>、问责追责紧密挂钩，确保政策落地。明确各相关部门在农业畜牧业发展中的职责分工，加强协作配合，形成工作合力。农业农村局负责具体规划和组织实施，财政部门负责资金保障，科技部门负责科技支撑，市场监管部门负责产品质量监管等。</w:t>
      </w:r>
    </w:p>
    <w:p w14:paraId="15D37783">
      <w:pPr>
        <w:spacing w:line="580" w:lineRule="exact"/>
        <w:ind w:firstLine="560" w:firstLineChars="200"/>
        <w:rPr>
          <w:sz w:val="28"/>
        </w:rPr>
      </w:pPr>
      <w:r>
        <w:rPr>
          <w:rFonts w:hint="eastAsia"/>
          <w:sz w:val="28"/>
        </w:rPr>
        <w:t>制定科学合理的考核指标体系，对各乡镇、各部门在农业畜牧业发展中的工作成效进行考核评估，将考核结果与绩效挂钩，奖优罚劣，确保各项工作任务落到实处。</w:t>
      </w:r>
    </w:p>
    <w:p w14:paraId="14570BCD">
      <w:pPr>
        <w:pStyle w:val="3"/>
        <w:widowControl/>
        <w:spacing w:before="0" w:after="0" w:line="600" w:lineRule="exact"/>
        <w:ind w:firstLine="562" w:firstLineChars="200"/>
        <w:rPr>
          <w:rFonts w:ascii="Arial" w:hAnsi="Arial" w:eastAsia="黑体"/>
          <w:bCs w:val="0"/>
          <w:kern w:val="0"/>
          <w:sz w:val="28"/>
          <w:szCs w:val="20"/>
        </w:rPr>
      </w:pPr>
      <w:bookmarkStart w:id="115" w:name="_Toc237987659"/>
      <w:r>
        <w:rPr>
          <w:rFonts w:hint="eastAsia" w:ascii="Arial" w:hAnsi="Arial" w:eastAsia="黑体"/>
          <w:bCs w:val="0"/>
          <w:kern w:val="0"/>
          <w:sz w:val="28"/>
          <w:szCs w:val="20"/>
        </w:rPr>
        <w:t>二、加大财政金融支持</w:t>
      </w:r>
      <w:bookmarkEnd w:id="115"/>
    </w:p>
    <w:p w14:paraId="2C4D4068">
      <w:pPr>
        <w:spacing w:line="580" w:lineRule="exact"/>
        <w:ind w:firstLine="560" w:firstLineChars="200"/>
        <w:rPr>
          <w:sz w:val="28"/>
          <w:szCs w:val="28"/>
        </w:rPr>
      </w:pPr>
      <w:r>
        <w:rPr>
          <w:rFonts w:hint="eastAsia"/>
          <w:sz w:val="28"/>
          <w:szCs w:val="28"/>
        </w:rPr>
        <w:t>积极贯彻落实国家和地方关于农业和畜牧业的各项优惠政策。从财政、金融、税收、价格、投资等方面强化政策导向，用足用活各级政府支持农业和畜牧业发展的政策。</w:t>
      </w:r>
    </w:p>
    <w:p w14:paraId="01666036">
      <w:pPr>
        <w:spacing w:line="580" w:lineRule="exact"/>
        <w:ind w:firstLine="544" w:firstLineChars="200"/>
        <w:rPr>
          <w:spacing w:val="-4"/>
          <w:sz w:val="28"/>
          <w:szCs w:val="28"/>
        </w:rPr>
      </w:pPr>
      <w:r>
        <w:rPr>
          <w:rFonts w:hint="eastAsia"/>
          <w:spacing w:val="-4"/>
          <w:sz w:val="28"/>
          <w:szCs w:val="28"/>
        </w:rPr>
        <w:t>安排专项资金支持农业畜牧业发展，加大对高效节水农业、特色种植业、品种改良、疫病防控等方面的投入，按照统一标准、公开程序对采用先进技术和模式的经营主体给予补贴。落实国家税收优惠政策，对从事农业畜牧业生产的经营主体减免相关税费，减轻企业负担。</w:t>
      </w:r>
    </w:p>
    <w:p w14:paraId="4657CE3A">
      <w:pPr>
        <w:spacing w:line="580" w:lineRule="exact"/>
        <w:ind w:firstLine="544" w:firstLineChars="200"/>
        <w:rPr>
          <w:sz w:val="28"/>
          <w:szCs w:val="28"/>
        </w:rPr>
      </w:pPr>
      <w:r>
        <w:rPr>
          <w:rFonts w:hint="eastAsia"/>
          <w:spacing w:val="-4"/>
          <w:sz w:val="28"/>
          <w:szCs w:val="28"/>
        </w:rPr>
        <w:t>按照市场化原则，与符合条件的金融机构开展合作，建立起以企业为主体、政府引导、市场导向的多元化、多渠道、多层次投融资体系。积极协调金融机构，落实国家普惠金融政策，引导金融机构开发适合农业畜牧业特点的金融产品，对符合条件的经营主体给予信贷支持；推广畜禽活体生物资产质押贷款，拓宽融资渠道。</w:t>
      </w:r>
      <w:r>
        <w:rPr>
          <w:rFonts w:hint="eastAsia"/>
          <w:sz w:val="28"/>
          <w:szCs w:val="28"/>
        </w:rPr>
        <w:t>引导社会资本投入，鼓励企业、社会组织和个人投资农业畜牧业领域，通过多种方式吸引社会资本参与项目建设和运营，形成多元化投入机制。</w:t>
      </w:r>
    </w:p>
    <w:p w14:paraId="1B7D2FBC">
      <w:pPr>
        <w:pStyle w:val="3"/>
        <w:widowControl/>
        <w:spacing w:before="0" w:after="0" w:line="600" w:lineRule="exact"/>
        <w:ind w:firstLine="562" w:firstLineChars="200"/>
        <w:rPr>
          <w:rFonts w:ascii="Arial" w:hAnsi="Arial" w:eastAsia="黑体"/>
          <w:bCs w:val="0"/>
          <w:kern w:val="0"/>
          <w:sz w:val="28"/>
          <w:szCs w:val="20"/>
        </w:rPr>
      </w:pPr>
      <w:bookmarkStart w:id="116" w:name="_Toc237987660"/>
      <w:r>
        <w:rPr>
          <w:rFonts w:hint="eastAsia" w:ascii="Arial" w:hAnsi="Arial" w:eastAsia="黑体"/>
          <w:bCs w:val="0"/>
          <w:kern w:val="0"/>
          <w:sz w:val="28"/>
          <w:szCs w:val="20"/>
        </w:rPr>
        <w:t>三、强化科技支撑</w:t>
      </w:r>
      <w:bookmarkEnd w:id="116"/>
    </w:p>
    <w:p w14:paraId="1ABFDADA">
      <w:pPr>
        <w:spacing w:line="560" w:lineRule="exact"/>
        <w:ind w:firstLine="560" w:firstLineChars="200"/>
        <w:rPr>
          <w:sz w:val="28"/>
          <w:szCs w:val="28"/>
        </w:rPr>
      </w:pPr>
      <w:r>
        <w:rPr>
          <w:rFonts w:hint="eastAsia"/>
          <w:sz w:val="28"/>
          <w:szCs w:val="28"/>
        </w:rPr>
        <w:t>加强技术研发与推广，与高校、科研机构建立长期合作关系，开展农业种植技术、畜禽养殖技术、疫病防控技术等方面的研发和推广，提高农牧业科技含量。培养和引进专业人才，制定人才引进计划，吸引农业科技、畜牧兽医等专业人才来皮山县工作；开展本地人才培训，提高农牧民科技文化素质和生产技能。</w:t>
      </w:r>
    </w:p>
    <w:p w14:paraId="1CCD0663">
      <w:pPr>
        <w:spacing w:line="560" w:lineRule="exact"/>
        <w:ind w:firstLine="560" w:firstLineChars="200"/>
        <w:rPr>
          <w:sz w:val="28"/>
          <w:szCs w:val="28"/>
        </w:rPr>
      </w:pPr>
      <w:r>
        <w:rPr>
          <w:rFonts w:hint="eastAsia"/>
          <w:sz w:val="28"/>
          <w:szCs w:val="28"/>
        </w:rPr>
        <w:t>推进信息化建设，利用物联网、大数据等信息技术，建设农业畜牧业信息化管理平台，实现生产过程的智能化监控和管理，提高生产效率和管理水平，及时收集、整理和发布市场动态、价格走势、供求关系等信息，为农民和企业提供准确的市场信息，帮助其合理安排生产计划，降低市场风险。</w:t>
      </w:r>
    </w:p>
    <w:p w14:paraId="62BCB535">
      <w:pPr>
        <w:pStyle w:val="3"/>
        <w:widowControl/>
        <w:spacing w:before="0" w:after="0" w:line="600" w:lineRule="exact"/>
        <w:ind w:firstLine="562" w:firstLineChars="200"/>
        <w:rPr>
          <w:rFonts w:ascii="Arial" w:hAnsi="Arial" w:eastAsia="黑体"/>
          <w:bCs w:val="0"/>
          <w:kern w:val="0"/>
          <w:sz w:val="28"/>
          <w:szCs w:val="20"/>
        </w:rPr>
      </w:pPr>
      <w:bookmarkStart w:id="117" w:name="_Toc237987661"/>
      <w:r>
        <w:rPr>
          <w:rFonts w:hint="eastAsia" w:ascii="Arial" w:hAnsi="Arial" w:eastAsia="黑体"/>
          <w:bCs w:val="0"/>
          <w:kern w:val="0"/>
          <w:sz w:val="28"/>
          <w:szCs w:val="20"/>
        </w:rPr>
        <w:t>四、推进“产购储加销”协同</w:t>
      </w:r>
      <w:bookmarkEnd w:id="117"/>
    </w:p>
    <w:p w14:paraId="74ADDE3E">
      <w:pPr>
        <w:spacing w:line="560" w:lineRule="exact"/>
        <w:ind w:firstLine="560" w:firstLineChars="200"/>
        <w:rPr>
          <w:sz w:val="28"/>
          <w:szCs w:val="28"/>
        </w:rPr>
      </w:pPr>
      <w:r>
        <w:rPr>
          <w:rFonts w:hint="eastAsia"/>
          <w:sz w:val="28"/>
          <w:szCs w:val="28"/>
        </w:rPr>
        <w:t>加强粮食产业链各环节衔接（生产与收储的衔接、收储与加工的衔接、加工与物流销售的衔接、物流体系本身的高效化与稳定化），提升系统化保障能力（强化基础设施网络、培育多元化、有竞争力的市场主体、完善政策与机制支撑、加强科技与信息驱动），构建高效、稳定的粮食供应链（安全底线思维、风险监测预警、应急演练与预案、区域内合作）。保障粮食绝对安全，确保在任何情况下，粮食都能“产得出、运得走、供得上、调得动”，满足人民群众的基本生活需求。提升粮食生产效率与韧性，降低全链条损耗和成本，提高资源配置效率；同时增强应对自然灾害、市场波动、国际局势变化等冲击的能力。促进产业升级与农民增收：通过产业链的优化和价值提升，让农民更多分享增值收益，推动农业现代化。</w:t>
      </w:r>
    </w:p>
    <w:p w14:paraId="7A5E88B1">
      <w:pPr>
        <w:spacing w:line="560" w:lineRule="exact"/>
        <w:ind w:firstLine="560" w:firstLineChars="200"/>
        <w:rPr>
          <w:sz w:val="28"/>
          <w:szCs w:val="28"/>
        </w:rPr>
      </w:pPr>
      <w:r>
        <w:rPr>
          <w:rFonts w:hint="eastAsia"/>
          <w:sz w:val="28"/>
          <w:szCs w:val="28"/>
        </w:rPr>
        <w:t>加强品牌培育和推广力度，依托皮山县优质农产品和畜产品资源，打造一批具有市场竞争力的农产品和畜产品品牌，提高品牌知名度和市场占有率。</w:t>
      </w:r>
    </w:p>
    <w:p w14:paraId="13735C78">
      <w:pPr>
        <w:spacing w:line="560" w:lineRule="exact"/>
        <w:ind w:firstLine="560" w:firstLineChars="200"/>
        <w:rPr>
          <w:sz w:val="28"/>
          <w:szCs w:val="28"/>
        </w:rPr>
      </w:pPr>
      <w:r>
        <w:rPr>
          <w:rFonts w:hint="eastAsia"/>
          <w:sz w:val="28"/>
          <w:szCs w:val="28"/>
        </w:rPr>
        <w:t>拓展销售渠道，积极组织企业参加各类农产品展销会、博览会等活动，搭建产销对接平台，拓宽销售渠道；加强与电商平台合作，开展农产品和畜产品网络销售，提高市场占有率。</w:t>
      </w:r>
    </w:p>
    <w:p w14:paraId="435A1A0C">
      <w:pPr>
        <w:pStyle w:val="3"/>
        <w:widowControl/>
        <w:spacing w:before="0" w:after="0" w:line="600" w:lineRule="exact"/>
        <w:ind w:firstLine="562" w:firstLineChars="200"/>
        <w:rPr>
          <w:rFonts w:ascii="Arial" w:hAnsi="Arial" w:eastAsia="黑体"/>
          <w:bCs w:val="0"/>
          <w:kern w:val="0"/>
          <w:sz w:val="28"/>
          <w:szCs w:val="20"/>
        </w:rPr>
      </w:pPr>
      <w:bookmarkStart w:id="118" w:name="_Toc237987662"/>
      <w:r>
        <w:rPr>
          <w:rFonts w:hint="eastAsia" w:ascii="Arial" w:hAnsi="Arial" w:eastAsia="黑体"/>
          <w:bCs w:val="0"/>
          <w:kern w:val="0"/>
          <w:sz w:val="28"/>
          <w:szCs w:val="20"/>
        </w:rPr>
        <w:t>五、强化生态保护</w:t>
      </w:r>
      <w:bookmarkEnd w:id="118"/>
    </w:p>
    <w:p w14:paraId="24A3A06C">
      <w:pPr>
        <w:spacing w:line="560" w:lineRule="exact"/>
        <w:ind w:firstLine="560" w:firstLineChars="200"/>
        <w:rPr>
          <w:sz w:val="28"/>
          <w:szCs w:val="28"/>
        </w:rPr>
      </w:pPr>
      <w:r>
        <w:rPr>
          <w:rFonts w:hint="eastAsia"/>
          <w:sz w:val="28"/>
          <w:szCs w:val="28"/>
        </w:rPr>
        <w:t>加强环境监管，建立健全农业畜牧业生态环境监测体系，加强对畜禽养殖废弃物排放、农业面源污染等的监测和监管，及时发现和处理环境问题，确保生态环境安全。</w:t>
      </w:r>
    </w:p>
    <w:p w14:paraId="033792E5">
      <w:pPr>
        <w:spacing w:line="560" w:lineRule="exact"/>
        <w:ind w:firstLine="560" w:firstLineChars="200"/>
        <w:rPr>
          <w:sz w:val="28"/>
          <w:szCs w:val="28"/>
        </w:rPr>
      </w:pPr>
      <w:r>
        <w:rPr>
          <w:rFonts w:hint="eastAsia"/>
          <w:sz w:val="28"/>
          <w:szCs w:val="28"/>
        </w:rPr>
        <w:t>鼓励养殖户采用生态养殖模式，发展林下养殖、牧草养殖等，实现养殖与生态的良性互动，提高养殖效益和生态效益。</w:t>
      </w:r>
    </w:p>
    <w:p w14:paraId="4F5F4104">
      <w:pPr>
        <w:pStyle w:val="3"/>
        <w:widowControl/>
        <w:spacing w:before="0" w:after="0" w:line="600" w:lineRule="exact"/>
        <w:ind w:firstLine="562" w:firstLineChars="200"/>
        <w:rPr>
          <w:rFonts w:ascii="Arial" w:hAnsi="Arial" w:eastAsia="黑体"/>
          <w:bCs w:val="0"/>
          <w:kern w:val="0"/>
          <w:sz w:val="28"/>
          <w:szCs w:val="20"/>
        </w:rPr>
      </w:pPr>
      <w:bookmarkStart w:id="119" w:name="_Toc237987663"/>
      <w:r>
        <w:rPr>
          <w:rFonts w:hint="eastAsia" w:ascii="Arial" w:hAnsi="Arial" w:eastAsia="黑体"/>
          <w:bCs w:val="0"/>
          <w:kern w:val="0"/>
          <w:sz w:val="28"/>
          <w:szCs w:val="20"/>
        </w:rPr>
        <w:t>六、强化服务保障体系</w:t>
      </w:r>
      <w:bookmarkEnd w:id="119"/>
    </w:p>
    <w:p w14:paraId="1775D788">
      <w:pPr>
        <w:spacing w:line="560" w:lineRule="exact"/>
        <w:ind w:firstLine="560" w:firstLineChars="200"/>
        <w:rPr>
          <w:sz w:val="28"/>
          <w:szCs w:val="28"/>
        </w:rPr>
      </w:pPr>
      <w:r>
        <w:rPr>
          <w:rFonts w:hint="eastAsia"/>
          <w:sz w:val="28"/>
          <w:szCs w:val="28"/>
        </w:rPr>
        <w:t>完善技术服务网络，建立健全县、乡镇、村三级农业畜牧业技术服务体系，加强基层技术人员队伍建设，提高技术人员的专业素养和服务能力。定期组织技术人员深入农村一线，为农民提供种植、养殖技术指导，解决生产过程中遇到的技术问题。</w:t>
      </w:r>
    </w:p>
    <w:p w14:paraId="2265CE67">
      <w:pPr>
        <w:spacing w:line="560" w:lineRule="exact"/>
        <w:ind w:firstLine="560" w:firstLineChars="200"/>
        <w:rPr>
          <w:sz w:val="28"/>
          <w:szCs w:val="28"/>
        </w:rPr>
      </w:pPr>
      <w:r>
        <w:rPr>
          <w:rFonts w:hint="eastAsia"/>
          <w:sz w:val="28"/>
          <w:szCs w:val="28"/>
        </w:rPr>
        <w:t>强化法律服务保障：加强农业畜牧业相关法律法规的宣传普及，提高农民和企业的法律意识。建立健全农村法律服务体系，为农民和企业提供法律咨询、纠纷调解、权益维护等服务，保障其合法权益。</w:t>
      </w:r>
    </w:p>
    <w:p w14:paraId="4FBF5153">
      <w:pPr>
        <w:pStyle w:val="3"/>
        <w:widowControl/>
        <w:spacing w:before="0" w:after="0" w:line="600" w:lineRule="exact"/>
        <w:ind w:firstLine="562" w:firstLineChars="200"/>
        <w:rPr>
          <w:rFonts w:ascii="Arial" w:hAnsi="Arial" w:eastAsia="黑体"/>
          <w:bCs w:val="0"/>
          <w:kern w:val="0"/>
          <w:sz w:val="28"/>
          <w:szCs w:val="20"/>
        </w:rPr>
      </w:pPr>
      <w:bookmarkStart w:id="120" w:name="_Toc237987664"/>
      <w:r>
        <w:rPr>
          <w:rFonts w:hint="eastAsia" w:ascii="Arial" w:hAnsi="Arial" w:eastAsia="黑体"/>
          <w:bCs w:val="0"/>
          <w:kern w:val="0"/>
          <w:sz w:val="28"/>
          <w:szCs w:val="20"/>
        </w:rPr>
        <w:t>七、促进融合发展</w:t>
      </w:r>
      <w:bookmarkEnd w:id="120"/>
    </w:p>
    <w:p w14:paraId="62A7601B">
      <w:pPr>
        <w:spacing w:line="560" w:lineRule="exact"/>
        <w:ind w:firstLine="560" w:firstLineChars="200"/>
        <w:rPr>
          <w:sz w:val="28"/>
          <w:szCs w:val="28"/>
        </w:rPr>
      </w:pPr>
      <w:r>
        <w:rPr>
          <w:rFonts w:hint="eastAsia"/>
          <w:sz w:val="28"/>
          <w:szCs w:val="28"/>
        </w:rPr>
        <w:t>加强农业畜牧业与加工、流通、旅游、文化等产业的深度融合，延长产业链，提升价值链。支持企业开展农产品和畜产品精深加工，提高产品附加值；发展农产品冷链物流、电商等新型流通业态，拓宽销售渠道；结合当地旅游资源，开发观光农业、休闲采摘、生态旅游等项目，实现产业协同发展。</w:t>
      </w:r>
    </w:p>
    <w:p w14:paraId="5664D775">
      <w:pPr>
        <w:spacing w:line="560" w:lineRule="exact"/>
        <w:ind w:firstLine="560" w:firstLineChars="200"/>
        <w:rPr>
          <w:sz w:val="28"/>
          <w:szCs w:val="28"/>
        </w:rPr>
      </w:pPr>
      <w:r>
        <w:rPr>
          <w:rFonts w:hint="eastAsia"/>
          <w:sz w:val="28"/>
          <w:szCs w:val="28"/>
        </w:rPr>
        <w:t>促进农村一二三产业融合，鼓励农民合作社、家庭农场等经营主体与企业、电商平台等建立紧密的利益联结机制，形成“公司+合作社+农户”、“公司+基地+农户”等经营模式，让农民更多地分享产业融合发展的红利。支持建设田园综合体、现代农业产业园等融合载体，打造农村产业融合发展的示范样板。</w:t>
      </w:r>
    </w:p>
    <w:p w14:paraId="212C7069">
      <w:pPr>
        <w:pStyle w:val="3"/>
        <w:widowControl/>
        <w:spacing w:before="0" w:after="0" w:line="600" w:lineRule="exact"/>
        <w:ind w:firstLine="562" w:firstLineChars="200"/>
        <w:rPr>
          <w:rFonts w:ascii="Arial" w:hAnsi="Arial" w:eastAsia="黑体"/>
          <w:bCs w:val="0"/>
          <w:kern w:val="0"/>
          <w:sz w:val="28"/>
          <w:szCs w:val="20"/>
        </w:rPr>
      </w:pPr>
      <w:bookmarkStart w:id="121" w:name="_Toc237987665"/>
      <w:r>
        <w:rPr>
          <w:rFonts w:hint="eastAsia" w:ascii="Arial" w:hAnsi="Arial" w:eastAsia="黑体"/>
          <w:bCs w:val="0"/>
          <w:kern w:val="0"/>
          <w:sz w:val="28"/>
          <w:szCs w:val="20"/>
        </w:rPr>
        <w:t>八、促进农村改革和农民增收</w:t>
      </w:r>
      <w:bookmarkEnd w:id="121"/>
    </w:p>
    <w:p w14:paraId="3CD7BF20">
      <w:pPr>
        <w:spacing w:line="560" w:lineRule="exact"/>
        <w:ind w:firstLine="560" w:firstLineChars="200"/>
        <w:rPr>
          <w:sz w:val="28"/>
          <w:szCs w:val="28"/>
        </w:rPr>
      </w:pPr>
      <w:r>
        <w:rPr>
          <w:rFonts w:hint="eastAsia"/>
          <w:sz w:val="28"/>
          <w:szCs w:val="28"/>
        </w:rPr>
        <w:t>按照党的二十届三中全会提出的《中共中央关于进一步全面深化改革 推进中国式现代化的决定》的要求，把《决定》做为农业农村高质量发展的重要依据，推动农业农村现代化。立足优势、突出特色，依托“南疆特殊扶持政策”，争取政策红利，提升和田特有的光热资源、特色畜牧业资源、沙产业资源优势，以资源助力和田农牧民增收，农业现代化发展。严守耕地红线，推进高标准农田建设（盐碱地改造），加强种源核心技术攻关，实施新一轮粮食产能提升行动，完善粮食生产补贴政策，发展县域富民产业，推动农产品加工向产地下沉，支持数字农业、智慧农场、低碳农业等新模式。强化新型经营主体与小农户利益连结，推进农村供水、电网、通信升级，完善养老、教育等公共服务，深化人居环境改善，打造宜居宜业和美乡村，促进农民持续增收。</w:t>
      </w:r>
    </w:p>
    <w:p w14:paraId="49A9E145">
      <w:pPr>
        <w:pStyle w:val="3"/>
        <w:widowControl/>
        <w:spacing w:before="0" w:after="0" w:line="600" w:lineRule="exact"/>
        <w:ind w:firstLine="562" w:firstLineChars="200"/>
        <w:rPr>
          <w:rFonts w:ascii="Arial" w:hAnsi="Arial" w:eastAsia="黑体"/>
          <w:bCs w:val="0"/>
          <w:kern w:val="0"/>
          <w:sz w:val="28"/>
          <w:szCs w:val="20"/>
        </w:rPr>
      </w:pPr>
      <w:bookmarkStart w:id="122" w:name="_Toc237987666"/>
      <w:r>
        <w:rPr>
          <w:rFonts w:hint="eastAsia" w:ascii="Arial" w:hAnsi="Arial" w:eastAsia="黑体"/>
          <w:bCs w:val="0"/>
          <w:kern w:val="0"/>
          <w:sz w:val="28"/>
          <w:szCs w:val="20"/>
        </w:rPr>
        <w:t>九、强化农业干部队伍建设</w:t>
      </w:r>
      <w:bookmarkEnd w:id="122"/>
    </w:p>
    <w:p w14:paraId="292E9CC2">
      <w:pPr>
        <w:spacing w:line="560" w:lineRule="exact"/>
        <w:ind w:firstLine="560" w:firstLineChars="200"/>
        <w:rPr>
          <w:sz w:val="28"/>
          <w:szCs w:val="28"/>
        </w:rPr>
      </w:pPr>
      <w:r>
        <w:rPr>
          <w:rFonts w:hint="eastAsia"/>
          <w:sz w:val="28"/>
          <w:szCs w:val="28"/>
        </w:rPr>
        <w:t>重点加强各级农业干部队伍思想建设、作风建设和能力建设。以加强能力建设为主线，有计划、有步骤、有重点地培养一批市场开拓能力强、生产经营水平高的现代农业干部人才，用现代农业理论武装头脑，用现代市场经营理念谋划农业发展，不断提高指导农业发展、加快市场开拓、带领农民增收的能力和水平，确保政策落实、技术服务、农业执法、农产品质量监管等履行到位。转变工作作风，强化责任意识，下大力气解决农民群众普遍关心的热点难点问题，为农民群众办实事、办好事。要按照现代农业发展的新要求，加强对理论和业务知识的学习，努力增强科学判断形势、把握发展规律、解决突出问题、应对突发事件、推动执行落实的“五种能力”。深入开展作风建设和反腐倡廉建设，强化强农惠农政策落实情况监督检查，严肃查处违纪违法案件，树立为民、务实、清廉的良好形象。牢固树立“一盘棋”、“大农业”的思想，加强大农业系统内部联系配合和相关部门的沟通协调，建立联系合作机制，调动一切积极因素，共同推动现代农业发展。</w:t>
      </w:r>
    </w:p>
    <w:p w14:paraId="44244AC2">
      <w:pPr>
        <w:pStyle w:val="3"/>
        <w:widowControl/>
        <w:spacing w:before="0" w:after="0" w:line="600" w:lineRule="exact"/>
        <w:ind w:firstLine="562" w:firstLineChars="200"/>
        <w:rPr>
          <w:rFonts w:ascii="Arial" w:hAnsi="Arial" w:eastAsia="黑体"/>
          <w:bCs w:val="0"/>
          <w:kern w:val="0"/>
          <w:sz w:val="28"/>
          <w:szCs w:val="20"/>
        </w:rPr>
      </w:pPr>
      <w:bookmarkStart w:id="123" w:name="_Toc237987667"/>
      <w:r>
        <w:rPr>
          <w:rFonts w:hint="eastAsia" w:ascii="Arial" w:hAnsi="Arial" w:eastAsia="黑体"/>
          <w:bCs w:val="0"/>
          <w:kern w:val="0"/>
          <w:sz w:val="28"/>
          <w:szCs w:val="20"/>
        </w:rPr>
        <w:t>十、加强教育与培训</w:t>
      </w:r>
      <w:bookmarkEnd w:id="123"/>
    </w:p>
    <w:p w14:paraId="4557E767">
      <w:pPr>
        <w:spacing w:line="560" w:lineRule="exact"/>
        <w:ind w:firstLine="560" w:firstLineChars="200"/>
        <w:rPr>
          <w:sz w:val="28"/>
          <w:szCs w:val="28"/>
        </w:rPr>
      </w:pPr>
      <w:r>
        <w:rPr>
          <w:rFonts w:hint="eastAsia"/>
          <w:sz w:val="28"/>
          <w:szCs w:val="28"/>
        </w:rPr>
        <w:t>建立新型职业农民培育制度，通过政策扶持、技术指导、金融信贷等措施，开展职业农民培训，制定职业农民培训计划，围绕农业种植、畜禽养殖、农产品加工等关键技术，开展多层次、多形式的培训活动，提高农民生产技能和经营管理水平，吸引更多年轻人投身农业畜牧业，培养造就一支有文化、懂技术、会经营的新型职业农民队伍。</w:t>
      </w:r>
    </w:p>
    <w:p w14:paraId="7CD77D94">
      <w:pPr>
        <w:pStyle w:val="3"/>
        <w:widowControl/>
        <w:spacing w:before="0" w:after="0" w:line="600" w:lineRule="exact"/>
        <w:ind w:firstLine="562" w:firstLineChars="200"/>
        <w:rPr>
          <w:rFonts w:ascii="Arial" w:hAnsi="Arial" w:eastAsia="黑体"/>
          <w:bCs w:val="0"/>
          <w:kern w:val="0"/>
          <w:sz w:val="28"/>
          <w:szCs w:val="20"/>
        </w:rPr>
      </w:pPr>
      <w:bookmarkStart w:id="124" w:name="_Toc237987668"/>
      <w:r>
        <w:rPr>
          <w:rFonts w:ascii="Arial" w:hAnsi="Arial" w:eastAsia="黑体"/>
          <w:bCs w:val="0"/>
          <w:kern w:val="0"/>
          <w:sz w:val="28"/>
          <w:szCs w:val="20"/>
        </w:rPr>
        <w:t>十一、推进兵地融合发展</w:t>
      </w:r>
      <w:bookmarkEnd w:id="124"/>
    </w:p>
    <w:p w14:paraId="38E701E9">
      <w:pPr>
        <w:spacing w:line="560" w:lineRule="exact"/>
        <w:ind w:firstLine="560" w:firstLineChars="200"/>
        <w:rPr>
          <w:sz w:val="28"/>
          <w:szCs w:val="28"/>
        </w:rPr>
      </w:pPr>
      <w:r>
        <w:rPr>
          <w:sz w:val="28"/>
          <w:szCs w:val="28"/>
        </w:rPr>
        <w:t>按照资源共享、优势互补、互惠互利、共同发展的原则，加强与兵团第十四师昆玉市特色优势农业产业交流合作。</w:t>
      </w:r>
      <w:r>
        <w:rPr>
          <w:rFonts w:hint="eastAsia"/>
          <w:sz w:val="28"/>
          <w:szCs w:val="28"/>
        </w:rPr>
        <w:t>依托具备种畜禽生产经营资质的繁育企业，通过公开竞争程序确定供应主体</w:t>
      </w:r>
      <w:r>
        <w:rPr>
          <w:sz w:val="28"/>
          <w:szCs w:val="28"/>
        </w:rPr>
        <w:t>，推广皮山红羊兵地产业发展，每年向团场定额销售皮山红羊种公羊、繁育母羊，全面提升兵地两地畜牧养殖保种扩繁能力。加强农业技能培训交流，采取集中培训、现场观摩、互派农业专业技术人员等形式，共同举办种植、养殖、设施农业等方面培训交流，不断提升兵地农业技术和管理水平。推动兵地农业规模化、产业化经营，吸纳兵地两地群众就业，促进兵地农业农村现代化协同发展。</w:t>
      </w:r>
    </w:p>
    <w:p w14:paraId="3AD3BC24">
      <w:pPr>
        <w:pStyle w:val="3"/>
        <w:widowControl/>
        <w:spacing w:before="0" w:after="0" w:line="600" w:lineRule="exact"/>
        <w:ind w:firstLine="562" w:firstLineChars="200"/>
        <w:rPr>
          <w:rFonts w:ascii="Arial" w:hAnsi="Arial" w:eastAsia="黑体"/>
          <w:bCs w:val="0"/>
          <w:kern w:val="0"/>
          <w:sz w:val="28"/>
          <w:szCs w:val="20"/>
        </w:rPr>
      </w:pPr>
      <w:bookmarkStart w:id="125" w:name="_Toc237987669"/>
      <w:r>
        <w:rPr>
          <w:rFonts w:ascii="Arial" w:hAnsi="Arial" w:eastAsia="黑体"/>
          <w:bCs w:val="0"/>
          <w:kern w:val="0"/>
          <w:sz w:val="28"/>
          <w:szCs w:val="20"/>
        </w:rPr>
        <w:t>十二、完善规划监督考核机制及公平竞争审查</w:t>
      </w:r>
      <w:bookmarkEnd w:id="125"/>
    </w:p>
    <w:p w14:paraId="1D8EED12">
      <w:pPr>
        <w:spacing w:line="560" w:lineRule="exact"/>
        <w:ind w:firstLine="560" w:firstLineChars="200"/>
        <w:rPr>
          <w:sz w:val="28"/>
          <w:szCs w:val="28"/>
        </w:rPr>
      </w:pPr>
      <w:r>
        <w:rPr>
          <w:sz w:val="28"/>
          <w:szCs w:val="28"/>
        </w:rPr>
        <w:t>将规划实施进程纳入乡镇和村各级政府目标考核内容，作为衡量党政领导班子政绩的重要考核内容。建立皮山县农业农村现代化监测评价指标体系，分级评价各乡镇农业农村现代化进程和规划实施情况，定期发布评价结果。将粮食生产功能区、重要农产品生产保护区和“农业灌溉用水总量基本稳定、化肥农药使用量、畜禽粪便及农作物秸秆资源化利用、农村人均可支配收入增加额、农业科技进步贡献率、农产品加工业产值占农业总产值之比”等规划任务完成情况纳入地方政府年度绩效考核指标体系。加强规划监测评估，定期对规划目标任务完成情况进行中期评估和期末评估，评估结果向社会公布。</w:t>
      </w:r>
    </w:p>
    <w:p w14:paraId="02A6FE78">
      <w:pPr>
        <w:spacing w:line="560" w:lineRule="exact"/>
        <w:ind w:firstLine="560" w:firstLineChars="200"/>
        <w:rPr>
          <w:sz w:val="28"/>
          <w:szCs w:val="28"/>
        </w:rPr>
      </w:pPr>
      <w:r>
        <w:rPr>
          <w:rFonts w:hint="eastAsia"/>
          <w:sz w:val="28"/>
          <w:szCs w:val="28"/>
        </w:rPr>
        <w:t>本规划涉及经营主体经济活动的政策措施，在制定和实施过程中应依法开展公平竞争审查，防止排除、限制竞争。</w:t>
      </w:r>
    </w:p>
    <w:sectPr>
      <w:footerReference r:id="rId6" w:type="default"/>
      <w:pgSz w:w="11906" w:h="16838"/>
      <w:pgMar w:top="1588" w:right="1588" w:bottom="1985" w:left="1588" w:header="851" w:footer="1361" w:gutter="0"/>
      <w:pgNumType w:start="1"/>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Segoe UI">
    <w:panose1 w:val="020B0502040204020203"/>
    <w:charset w:val="00"/>
    <w:family w:val="swiss"/>
    <w:pitch w:val="default"/>
    <w:sig w:usb0="E10022FF" w:usb1="C000E47F" w:usb2="00000029" w:usb3="00000000" w:csb0="200001DF" w:csb1="2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E0EBB">
    <w:pPr>
      <w:pStyle w:val="15"/>
      <w:jc w:val="center"/>
    </w:pPr>
  </w:p>
  <w:p w14:paraId="25035657">
    <w:pPr>
      <w:pStyle w:val="1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9E328">
    <w:pPr>
      <w:pStyle w:val="15"/>
      <w:framePr w:wrap="around" w:vAnchor="text" w:hAnchor="margin" w:xAlign="outside" w:y="1"/>
      <w:rPr>
        <w:rStyle w:val="29"/>
      </w:rPr>
    </w:pPr>
    <w:r>
      <w:fldChar w:fldCharType="begin"/>
    </w:r>
    <w:r>
      <w:rPr>
        <w:rStyle w:val="29"/>
      </w:rPr>
      <w:instrText xml:space="preserve">PAGE  </w:instrText>
    </w:r>
    <w:r>
      <w:fldChar w:fldCharType="end"/>
    </w:r>
  </w:p>
  <w:p w14:paraId="052C2B7C">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2072892"/>
      <w:docPartObj>
        <w:docPartGallery w:val="autotext"/>
      </w:docPartObj>
    </w:sdtPr>
    <w:sdtContent>
      <w:p w14:paraId="2B9D3236">
        <w:pPr>
          <w:pStyle w:val="15"/>
          <w:jc w:val="center"/>
        </w:pPr>
        <w:r>
          <w:fldChar w:fldCharType="begin"/>
        </w:r>
        <w:r>
          <w:instrText xml:space="preserve">PAGE   \* MERGEFORMAT</w:instrText>
        </w:r>
        <w:r>
          <w:fldChar w:fldCharType="separate"/>
        </w:r>
        <w:r>
          <w:rPr>
            <w:lang w:val="zh-CN"/>
          </w:rPr>
          <w:t>III</w:t>
        </w:r>
        <w:r>
          <w:fldChar w:fldCharType="end"/>
        </w:r>
      </w:p>
    </w:sdtContent>
  </w:sdt>
  <w:p w14:paraId="1D12AC7E">
    <w:pPr>
      <w:pStyle w:val="1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60EC1">
    <w:pPr>
      <w:pStyle w:val="15"/>
      <w:jc w:val="center"/>
    </w:pPr>
    <w:r>
      <w:fldChar w:fldCharType="begin"/>
    </w:r>
    <w:r>
      <w:instrText xml:space="preserve">PAGE   \* MERGEFORMAT</w:instrText>
    </w:r>
    <w:r>
      <w:fldChar w:fldCharType="separate"/>
    </w:r>
    <w:r>
      <w:rPr>
        <w:lang w:val="zh-CN"/>
      </w:rPr>
      <w:t>67</w:t>
    </w:r>
    <w:r>
      <w:fldChar w:fldCharType="end"/>
    </w:r>
  </w:p>
  <w:p w14:paraId="6EC57E64">
    <w:pPr>
      <w:pStyle w:val="1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C23"/>
    <w:rsid w:val="00001573"/>
    <w:rsid w:val="000018C5"/>
    <w:rsid w:val="00002471"/>
    <w:rsid w:val="0000271F"/>
    <w:rsid w:val="000068A5"/>
    <w:rsid w:val="000075E7"/>
    <w:rsid w:val="00010137"/>
    <w:rsid w:val="000109C2"/>
    <w:rsid w:val="00010AE8"/>
    <w:rsid w:val="000131A9"/>
    <w:rsid w:val="00013E19"/>
    <w:rsid w:val="000200B9"/>
    <w:rsid w:val="000207DA"/>
    <w:rsid w:val="00022C02"/>
    <w:rsid w:val="000233FB"/>
    <w:rsid w:val="00023C2E"/>
    <w:rsid w:val="00025B5C"/>
    <w:rsid w:val="00026F75"/>
    <w:rsid w:val="00027457"/>
    <w:rsid w:val="00027788"/>
    <w:rsid w:val="00027C73"/>
    <w:rsid w:val="000335EF"/>
    <w:rsid w:val="00033BB5"/>
    <w:rsid w:val="00034342"/>
    <w:rsid w:val="00036679"/>
    <w:rsid w:val="000366D0"/>
    <w:rsid w:val="000367F1"/>
    <w:rsid w:val="00036FB3"/>
    <w:rsid w:val="00037CB9"/>
    <w:rsid w:val="00040DDD"/>
    <w:rsid w:val="0004297C"/>
    <w:rsid w:val="00042BBA"/>
    <w:rsid w:val="00045099"/>
    <w:rsid w:val="00047026"/>
    <w:rsid w:val="0005095D"/>
    <w:rsid w:val="00051447"/>
    <w:rsid w:val="00052005"/>
    <w:rsid w:val="00054EF2"/>
    <w:rsid w:val="00055B45"/>
    <w:rsid w:val="00056A20"/>
    <w:rsid w:val="000579BC"/>
    <w:rsid w:val="000601D9"/>
    <w:rsid w:val="000607FE"/>
    <w:rsid w:val="00060D68"/>
    <w:rsid w:val="0006251D"/>
    <w:rsid w:val="00063365"/>
    <w:rsid w:val="000655AA"/>
    <w:rsid w:val="00065B10"/>
    <w:rsid w:val="00065C53"/>
    <w:rsid w:val="00070209"/>
    <w:rsid w:val="00071CD0"/>
    <w:rsid w:val="0007403E"/>
    <w:rsid w:val="00075BA5"/>
    <w:rsid w:val="00075DB6"/>
    <w:rsid w:val="00076711"/>
    <w:rsid w:val="000769BC"/>
    <w:rsid w:val="00080263"/>
    <w:rsid w:val="0008169F"/>
    <w:rsid w:val="000832E3"/>
    <w:rsid w:val="00083E30"/>
    <w:rsid w:val="0008438C"/>
    <w:rsid w:val="0008526E"/>
    <w:rsid w:val="0008686C"/>
    <w:rsid w:val="00092717"/>
    <w:rsid w:val="00092911"/>
    <w:rsid w:val="000932CF"/>
    <w:rsid w:val="000952EE"/>
    <w:rsid w:val="000A15FB"/>
    <w:rsid w:val="000A2087"/>
    <w:rsid w:val="000A3AF8"/>
    <w:rsid w:val="000A3CB6"/>
    <w:rsid w:val="000A3DB6"/>
    <w:rsid w:val="000A4628"/>
    <w:rsid w:val="000A7631"/>
    <w:rsid w:val="000B0957"/>
    <w:rsid w:val="000B1896"/>
    <w:rsid w:val="000B2401"/>
    <w:rsid w:val="000B2E96"/>
    <w:rsid w:val="000B2EB7"/>
    <w:rsid w:val="000B582E"/>
    <w:rsid w:val="000B71CB"/>
    <w:rsid w:val="000B7935"/>
    <w:rsid w:val="000B7BDA"/>
    <w:rsid w:val="000C01BA"/>
    <w:rsid w:val="000C2815"/>
    <w:rsid w:val="000C2884"/>
    <w:rsid w:val="000C33C5"/>
    <w:rsid w:val="000C3E11"/>
    <w:rsid w:val="000C51D5"/>
    <w:rsid w:val="000D0C3E"/>
    <w:rsid w:val="000D2169"/>
    <w:rsid w:val="000D2455"/>
    <w:rsid w:val="000D25D1"/>
    <w:rsid w:val="000D441E"/>
    <w:rsid w:val="000D572E"/>
    <w:rsid w:val="000D643C"/>
    <w:rsid w:val="000D6A99"/>
    <w:rsid w:val="000E0FED"/>
    <w:rsid w:val="000E234E"/>
    <w:rsid w:val="000F0832"/>
    <w:rsid w:val="000F1FF9"/>
    <w:rsid w:val="000F26CB"/>
    <w:rsid w:val="000F2863"/>
    <w:rsid w:val="000F3659"/>
    <w:rsid w:val="000F65E1"/>
    <w:rsid w:val="000F7466"/>
    <w:rsid w:val="00100282"/>
    <w:rsid w:val="00102B9C"/>
    <w:rsid w:val="00107F9C"/>
    <w:rsid w:val="00110C75"/>
    <w:rsid w:val="0011266C"/>
    <w:rsid w:val="001136EE"/>
    <w:rsid w:val="00113EA2"/>
    <w:rsid w:val="001154EA"/>
    <w:rsid w:val="00116C6E"/>
    <w:rsid w:val="00116CCE"/>
    <w:rsid w:val="00123920"/>
    <w:rsid w:val="00123A5A"/>
    <w:rsid w:val="00124141"/>
    <w:rsid w:val="00124995"/>
    <w:rsid w:val="00124E71"/>
    <w:rsid w:val="00124F44"/>
    <w:rsid w:val="001259E0"/>
    <w:rsid w:val="00125E6B"/>
    <w:rsid w:val="00127F61"/>
    <w:rsid w:val="0013034E"/>
    <w:rsid w:val="001326A8"/>
    <w:rsid w:val="00132E5D"/>
    <w:rsid w:val="001332BA"/>
    <w:rsid w:val="001337BA"/>
    <w:rsid w:val="0013400A"/>
    <w:rsid w:val="001348CB"/>
    <w:rsid w:val="0014099B"/>
    <w:rsid w:val="00141443"/>
    <w:rsid w:val="00142788"/>
    <w:rsid w:val="00142F32"/>
    <w:rsid w:val="00142FA0"/>
    <w:rsid w:val="00143BDA"/>
    <w:rsid w:val="0014407B"/>
    <w:rsid w:val="00144FAF"/>
    <w:rsid w:val="001460A8"/>
    <w:rsid w:val="00146A76"/>
    <w:rsid w:val="001475BA"/>
    <w:rsid w:val="001507EA"/>
    <w:rsid w:val="0015231E"/>
    <w:rsid w:val="00155616"/>
    <w:rsid w:val="00156A3F"/>
    <w:rsid w:val="00156B38"/>
    <w:rsid w:val="00160906"/>
    <w:rsid w:val="0016111E"/>
    <w:rsid w:val="00163DE3"/>
    <w:rsid w:val="00164B02"/>
    <w:rsid w:val="001657DC"/>
    <w:rsid w:val="00167F04"/>
    <w:rsid w:val="00171FC9"/>
    <w:rsid w:val="0017305B"/>
    <w:rsid w:val="00173A3A"/>
    <w:rsid w:val="00177986"/>
    <w:rsid w:val="001801CC"/>
    <w:rsid w:val="001808F5"/>
    <w:rsid w:val="001813F4"/>
    <w:rsid w:val="00182EF8"/>
    <w:rsid w:val="0018534D"/>
    <w:rsid w:val="00185F38"/>
    <w:rsid w:val="00186B54"/>
    <w:rsid w:val="001909CB"/>
    <w:rsid w:val="00191E05"/>
    <w:rsid w:val="0019312F"/>
    <w:rsid w:val="00193D7E"/>
    <w:rsid w:val="0019418E"/>
    <w:rsid w:val="0019553A"/>
    <w:rsid w:val="00197143"/>
    <w:rsid w:val="0019730E"/>
    <w:rsid w:val="00197DEB"/>
    <w:rsid w:val="001A133B"/>
    <w:rsid w:val="001A1D21"/>
    <w:rsid w:val="001A2909"/>
    <w:rsid w:val="001A3D33"/>
    <w:rsid w:val="001A7B12"/>
    <w:rsid w:val="001A7CEC"/>
    <w:rsid w:val="001A7ECE"/>
    <w:rsid w:val="001B4351"/>
    <w:rsid w:val="001B4775"/>
    <w:rsid w:val="001B6C13"/>
    <w:rsid w:val="001C0F29"/>
    <w:rsid w:val="001C2B2B"/>
    <w:rsid w:val="001C36A4"/>
    <w:rsid w:val="001C37FF"/>
    <w:rsid w:val="001C6B4B"/>
    <w:rsid w:val="001C6FCB"/>
    <w:rsid w:val="001C6FEE"/>
    <w:rsid w:val="001C7159"/>
    <w:rsid w:val="001C7844"/>
    <w:rsid w:val="001C7AC0"/>
    <w:rsid w:val="001D02FE"/>
    <w:rsid w:val="001D2565"/>
    <w:rsid w:val="001D40FD"/>
    <w:rsid w:val="001D4197"/>
    <w:rsid w:val="001D4A73"/>
    <w:rsid w:val="001D5359"/>
    <w:rsid w:val="001D5DD0"/>
    <w:rsid w:val="001D678C"/>
    <w:rsid w:val="001D782D"/>
    <w:rsid w:val="001E27A1"/>
    <w:rsid w:val="001E3C3D"/>
    <w:rsid w:val="001E5E44"/>
    <w:rsid w:val="001E669B"/>
    <w:rsid w:val="001E6792"/>
    <w:rsid w:val="001E79C6"/>
    <w:rsid w:val="001F045C"/>
    <w:rsid w:val="001F0E49"/>
    <w:rsid w:val="001F0F61"/>
    <w:rsid w:val="001F2876"/>
    <w:rsid w:val="001F39F2"/>
    <w:rsid w:val="001F4A0E"/>
    <w:rsid w:val="001F5809"/>
    <w:rsid w:val="001F5F09"/>
    <w:rsid w:val="001F71C5"/>
    <w:rsid w:val="00200813"/>
    <w:rsid w:val="00200A9D"/>
    <w:rsid w:val="00201967"/>
    <w:rsid w:val="0020702C"/>
    <w:rsid w:val="00210149"/>
    <w:rsid w:val="0021036F"/>
    <w:rsid w:val="002113FA"/>
    <w:rsid w:val="00212FCE"/>
    <w:rsid w:val="00215D4D"/>
    <w:rsid w:val="00216FFE"/>
    <w:rsid w:val="002179C3"/>
    <w:rsid w:val="0022179D"/>
    <w:rsid w:val="00221A39"/>
    <w:rsid w:val="00225622"/>
    <w:rsid w:val="002256C0"/>
    <w:rsid w:val="00226177"/>
    <w:rsid w:val="0022785C"/>
    <w:rsid w:val="002357C8"/>
    <w:rsid w:val="002379E0"/>
    <w:rsid w:val="00243805"/>
    <w:rsid w:val="00243D01"/>
    <w:rsid w:val="0024524B"/>
    <w:rsid w:val="00247F87"/>
    <w:rsid w:val="002502C9"/>
    <w:rsid w:val="00250F53"/>
    <w:rsid w:val="00251406"/>
    <w:rsid w:val="00252029"/>
    <w:rsid w:val="00252161"/>
    <w:rsid w:val="0025276C"/>
    <w:rsid w:val="00253C11"/>
    <w:rsid w:val="00255FAA"/>
    <w:rsid w:val="00260BDD"/>
    <w:rsid w:val="0026259F"/>
    <w:rsid w:val="002635F4"/>
    <w:rsid w:val="0026667E"/>
    <w:rsid w:val="00267B8C"/>
    <w:rsid w:val="00270009"/>
    <w:rsid w:val="00270944"/>
    <w:rsid w:val="002715FB"/>
    <w:rsid w:val="002734B7"/>
    <w:rsid w:val="00274292"/>
    <w:rsid w:val="00280A94"/>
    <w:rsid w:val="00281448"/>
    <w:rsid w:val="00282377"/>
    <w:rsid w:val="00282C57"/>
    <w:rsid w:val="002865C3"/>
    <w:rsid w:val="00287078"/>
    <w:rsid w:val="002877FB"/>
    <w:rsid w:val="00287BA7"/>
    <w:rsid w:val="00292501"/>
    <w:rsid w:val="00297487"/>
    <w:rsid w:val="002A0803"/>
    <w:rsid w:val="002A1413"/>
    <w:rsid w:val="002A30ED"/>
    <w:rsid w:val="002A34F2"/>
    <w:rsid w:val="002A3C49"/>
    <w:rsid w:val="002A4E64"/>
    <w:rsid w:val="002A5D3B"/>
    <w:rsid w:val="002A786D"/>
    <w:rsid w:val="002A7F28"/>
    <w:rsid w:val="002B0085"/>
    <w:rsid w:val="002B1D9B"/>
    <w:rsid w:val="002B6004"/>
    <w:rsid w:val="002B65AC"/>
    <w:rsid w:val="002C0B09"/>
    <w:rsid w:val="002C43FB"/>
    <w:rsid w:val="002C584A"/>
    <w:rsid w:val="002C61E0"/>
    <w:rsid w:val="002C6266"/>
    <w:rsid w:val="002C7AD9"/>
    <w:rsid w:val="002D0455"/>
    <w:rsid w:val="002D141A"/>
    <w:rsid w:val="002D16BB"/>
    <w:rsid w:val="002D2548"/>
    <w:rsid w:val="002D2D6F"/>
    <w:rsid w:val="002D38B0"/>
    <w:rsid w:val="002D43D0"/>
    <w:rsid w:val="002D597D"/>
    <w:rsid w:val="002D5C81"/>
    <w:rsid w:val="002D628A"/>
    <w:rsid w:val="002D6357"/>
    <w:rsid w:val="002D6D1F"/>
    <w:rsid w:val="002D704F"/>
    <w:rsid w:val="002D7536"/>
    <w:rsid w:val="002E2507"/>
    <w:rsid w:val="002E3A1B"/>
    <w:rsid w:val="002E4B52"/>
    <w:rsid w:val="002E52E5"/>
    <w:rsid w:val="002E61A1"/>
    <w:rsid w:val="002E7D3C"/>
    <w:rsid w:val="002F0F96"/>
    <w:rsid w:val="002F0FFE"/>
    <w:rsid w:val="002F1F93"/>
    <w:rsid w:val="002F20E2"/>
    <w:rsid w:val="002F20F0"/>
    <w:rsid w:val="002F30E4"/>
    <w:rsid w:val="002F3445"/>
    <w:rsid w:val="002F4B77"/>
    <w:rsid w:val="002F56B5"/>
    <w:rsid w:val="002F757B"/>
    <w:rsid w:val="003047B4"/>
    <w:rsid w:val="00307D35"/>
    <w:rsid w:val="00312DB0"/>
    <w:rsid w:val="00313C64"/>
    <w:rsid w:val="00316906"/>
    <w:rsid w:val="00316932"/>
    <w:rsid w:val="00316F59"/>
    <w:rsid w:val="00321A5A"/>
    <w:rsid w:val="00321D2D"/>
    <w:rsid w:val="00322F6D"/>
    <w:rsid w:val="00323435"/>
    <w:rsid w:val="00323FBE"/>
    <w:rsid w:val="003245FE"/>
    <w:rsid w:val="003246F7"/>
    <w:rsid w:val="00325EEF"/>
    <w:rsid w:val="0032658B"/>
    <w:rsid w:val="00327C6F"/>
    <w:rsid w:val="0033303C"/>
    <w:rsid w:val="00333BB9"/>
    <w:rsid w:val="00333C23"/>
    <w:rsid w:val="00335C34"/>
    <w:rsid w:val="00335C49"/>
    <w:rsid w:val="0033683B"/>
    <w:rsid w:val="0033707D"/>
    <w:rsid w:val="003376EB"/>
    <w:rsid w:val="0034036F"/>
    <w:rsid w:val="0034168C"/>
    <w:rsid w:val="0034207A"/>
    <w:rsid w:val="00342430"/>
    <w:rsid w:val="00343B08"/>
    <w:rsid w:val="00344C5C"/>
    <w:rsid w:val="00347186"/>
    <w:rsid w:val="0034736D"/>
    <w:rsid w:val="0035031F"/>
    <w:rsid w:val="003503F4"/>
    <w:rsid w:val="00352C1C"/>
    <w:rsid w:val="003532A3"/>
    <w:rsid w:val="0035786D"/>
    <w:rsid w:val="00360F58"/>
    <w:rsid w:val="003615D3"/>
    <w:rsid w:val="00361DB0"/>
    <w:rsid w:val="003625EF"/>
    <w:rsid w:val="00362C9A"/>
    <w:rsid w:val="0036489C"/>
    <w:rsid w:val="003654B7"/>
    <w:rsid w:val="00367909"/>
    <w:rsid w:val="003724BE"/>
    <w:rsid w:val="00372664"/>
    <w:rsid w:val="00372B5D"/>
    <w:rsid w:val="00372D16"/>
    <w:rsid w:val="003736F1"/>
    <w:rsid w:val="00373C4F"/>
    <w:rsid w:val="00374244"/>
    <w:rsid w:val="0037478F"/>
    <w:rsid w:val="00374F00"/>
    <w:rsid w:val="0037582E"/>
    <w:rsid w:val="00376BCA"/>
    <w:rsid w:val="00380FFD"/>
    <w:rsid w:val="00382763"/>
    <w:rsid w:val="00385A2B"/>
    <w:rsid w:val="003908C4"/>
    <w:rsid w:val="0039211A"/>
    <w:rsid w:val="00393881"/>
    <w:rsid w:val="00394174"/>
    <w:rsid w:val="003946F5"/>
    <w:rsid w:val="00395843"/>
    <w:rsid w:val="003960B3"/>
    <w:rsid w:val="003A2B2A"/>
    <w:rsid w:val="003A44D3"/>
    <w:rsid w:val="003A4B80"/>
    <w:rsid w:val="003A55C9"/>
    <w:rsid w:val="003A5DB2"/>
    <w:rsid w:val="003B632A"/>
    <w:rsid w:val="003B6DB2"/>
    <w:rsid w:val="003B728F"/>
    <w:rsid w:val="003B7A3A"/>
    <w:rsid w:val="003C251E"/>
    <w:rsid w:val="003D0A4C"/>
    <w:rsid w:val="003D1F5D"/>
    <w:rsid w:val="003D2EE2"/>
    <w:rsid w:val="003D4E91"/>
    <w:rsid w:val="003D5BDE"/>
    <w:rsid w:val="003D6468"/>
    <w:rsid w:val="003D6BD2"/>
    <w:rsid w:val="003D7135"/>
    <w:rsid w:val="003D7D74"/>
    <w:rsid w:val="003E0B5D"/>
    <w:rsid w:val="003E277B"/>
    <w:rsid w:val="003E2860"/>
    <w:rsid w:val="003E3249"/>
    <w:rsid w:val="003E3F02"/>
    <w:rsid w:val="003E4297"/>
    <w:rsid w:val="003E5106"/>
    <w:rsid w:val="003E75BC"/>
    <w:rsid w:val="003F030E"/>
    <w:rsid w:val="003F28E3"/>
    <w:rsid w:val="003F6192"/>
    <w:rsid w:val="004018AA"/>
    <w:rsid w:val="00406F18"/>
    <w:rsid w:val="004070D0"/>
    <w:rsid w:val="004107E6"/>
    <w:rsid w:val="0041182D"/>
    <w:rsid w:val="00411BC6"/>
    <w:rsid w:val="00412643"/>
    <w:rsid w:val="00414CD7"/>
    <w:rsid w:val="00421AB3"/>
    <w:rsid w:val="0042451B"/>
    <w:rsid w:val="0042502B"/>
    <w:rsid w:val="00425E0E"/>
    <w:rsid w:val="004269B0"/>
    <w:rsid w:val="00427148"/>
    <w:rsid w:val="00427191"/>
    <w:rsid w:val="00427489"/>
    <w:rsid w:val="004278B9"/>
    <w:rsid w:val="00432C25"/>
    <w:rsid w:val="00433BF0"/>
    <w:rsid w:val="0043427B"/>
    <w:rsid w:val="004346E2"/>
    <w:rsid w:val="00441CFB"/>
    <w:rsid w:val="004436D3"/>
    <w:rsid w:val="00444D92"/>
    <w:rsid w:val="00445AC2"/>
    <w:rsid w:val="0044767D"/>
    <w:rsid w:val="00447DE4"/>
    <w:rsid w:val="0045026F"/>
    <w:rsid w:val="0045239D"/>
    <w:rsid w:val="00453410"/>
    <w:rsid w:val="00454414"/>
    <w:rsid w:val="004547E9"/>
    <w:rsid w:val="004548BD"/>
    <w:rsid w:val="00460E96"/>
    <w:rsid w:val="004617FB"/>
    <w:rsid w:val="00462132"/>
    <w:rsid w:val="0046343A"/>
    <w:rsid w:val="0046358B"/>
    <w:rsid w:val="00463F2E"/>
    <w:rsid w:val="0046442E"/>
    <w:rsid w:val="0046502D"/>
    <w:rsid w:val="00465E3B"/>
    <w:rsid w:val="00472482"/>
    <w:rsid w:val="00472E2C"/>
    <w:rsid w:val="00480322"/>
    <w:rsid w:val="0048258C"/>
    <w:rsid w:val="00482C86"/>
    <w:rsid w:val="00486015"/>
    <w:rsid w:val="00486294"/>
    <w:rsid w:val="004872DC"/>
    <w:rsid w:val="004901C1"/>
    <w:rsid w:val="004918D3"/>
    <w:rsid w:val="004922EF"/>
    <w:rsid w:val="00492C9D"/>
    <w:rsid w:val="00495EA6"/>
    <w:rsid w:val="00496911"/>
    <w:rsid w:val="004A2226"/>
    <w:rsid w:val="004A35FB"/>
    <w:rsid w:val="004A383F"/>
    <w:rsid w:val="004A3FEB"/>
    <w:rsid w:val="004A5816"/>
    <w:rsid w:val="004A7DB9"/>
    <w:rsid w:val="004B2454"/>
    <w:rsid w:val="004B476D"/>
    <w:rsid w:val="004B51C7"/>
    <w:rsid w:val="004B64F9"/>
    <w:rsid w:val="004C0DA9"/>
    <w:rsid w:val="004C3C24"/>
    <w:rsid w:val="004C451A"/>
    <w:rsid w:val="004C5354"/>
    <w:rsid w:val="004D0402"/>
    <w:rsid w:val="004D37EB"/>
    <w:rsid w:val="004D41D6"/>
    <w:rsid w:val="004D5161"/>
    <w:rsid w:val="004D5A7F"/>
    <w:rsid w:val="004D7352"/>
    <w:rsid w:val="004E1933"/>
    <w:rsid w:val="004E3085"/>
    <w:rsid w:val="004E347E"/>
    <w:rsid w:val="004E354B"/>
    <w:rsid w:val="004E7140"/>
    <w:rsid w:val="004F11F8"/>
    <w:rsid w:val="004F3946"/>
    <w:rsid w:val="004F3EA3"/>
    <w:rsid w:val="00501EA4"/>
    <w:rsid w:val="0050267E"/>
    <w:rsid w:val="00503416"/>
    <w:rsid w:val="00503661"/>
    <w:rsid w:val="00504638"/>
    <w:rsid w:val="00504D5D"/>
    <w:rsid w:val="00506620"/>
    <w:rsid w:val="005066F7"/>
    <w:rsid w:val="005067A8"/>
    <w:rsid w:val="005110F2"/>
    <w:rsid w:val="00513AB7"/>
    <w:rsid w:val="00514082"/>
    <w:rsid w:val="005141BE"/>
    <w:rsid w:val="00515FF8"/>
    <w:rsid w:val="00516145"/>
    <w:rsid w:val="00522389"/>
    <w:rsid w:val="00522AC5"/>
    <w:rsid w:val="005230C7"/>
    <w:rsid w:val="00523357"/>
    <w:rsid w:val="00523462"/>
    <w:rsid w:val="005245DF"/>
    <w:rsid w:val="005332E6"/>
    <w:rsid w:val="00533326"/>
    <w:rsid w:val="00534051"/>
    <w:rsid w:val="0053433C"/>
    <w:rsid w:val="005367F7"/>
    <w:rsid w:val="00537204"/>
    <w:rsid w:val="005401F7"/>
    <w:rsid w:val="005416AB"/>
    <w:rsid w:val="00543537"/>
    <w:rsid w:val="00543837"/>
    <w:rsid w:val="0054510E"/>
    <w:rsid w:val="00550408"/>
    <w:rsid w:val="00550AFC"/>
    <w:rsid w:val="00551291"/>
    <w:rsid w:val="00551474"/>
    <w:rsid w:val="00551602"/>
    <w:rsid w:val="00552CCA"/>
    <w:rsid w:val="00553736"/>
    <w:rsid w:val="00554FEE"/>
    <w:rsid w:val="005562A6"/>
    <w:rsid w:val="0055636A"/>
    <w:rsid w:val="00556964"/>
    <w:rsid w:val="005578EC"/>
    <w:rsid w:val="00557E21"/>
    <w:rsid w:val="00560AF2"/>
    <w:rsid w:val="00561FA2"/>
    <w:rsid w:val="00563C43"/>
    <w:rsid w:val="00564184"/>
    <w:rsid w:val="00564A11"/>
    <w:rsid w:val="00564AFA"/>
    <w:rsid w:val="005651CE"/>
    <w:rsid w:val="0056694D"/>
    <w:rsid w:val="00571150"/>
    <w:rsid w:val="0057674B"/>
    <w:rsid w:val="00580131"/>
    <w:rsid w:val="00582D40"/>
    <w:rsid w:val="005847A9"/>
    <w:rsid w:val="005874FE"/>
    <w:rsid w:val="0059033D"/>
    <w:rsid w:val="00591157"/>
    <w:rsid w:val="005916CB"/>
    <w:rsid w:val="005922C0"/>
    <w:rsid w:val="0059297D"/>
    <w:rsid w:val="005931BD"/>
    <w:rsid w:val="00593866"/>
    <w:rsid w:val="00593F5F"/>
    <w:rsid w:val="00595732"/>
    <w:rsid w:val="005A2A20"/>
    <w:rsid w:val="005A3E17"/>
    <w:rsid w:val="005A3FAF"/>
    <w:rsid w:val="005A4C67"/>
    <w:rsid w:val="005A5607"/>
    <w:rsid w:val="005A5640"/>
    <w:rsid w:val="005A64A6"/>
    <w:rsid w:val="005A77F4"/>
    <w:rsid w:val="005B03A2"/>
    <w:rsid w:val="005B0504"/>
    <w:rsid w:val="005B3C77"/>
    <w:rsid w:val="005B6AA6"/>
    <w:rsid w:val="005C0896"/>
    <w:rsid w:val="005C218C"/>
    <w:rsid w:val="005C2D93"/>
    <w:rsid w:val="005C507B"/>
    <w:rsid w:val="005D2781"/>
    <w:rsid w:val="005D32BA"/>
    <w:rsid w:val="005D3CCB"/>
    <w:rsid w:val="005D4165"/>
    <w:rsid w:val="005D5759"/>
    <w:rsid w:val="005D5967"/>
    <w:rsid w:val="005E022D"/>
    <w:rsid w:val="005E1219"/>
    <w:rsid w:val="005E12BC"/>
    <w:rsid w:val="005E5155"/>
    <w:rsid w:val="005E5894"/>
    <w:rsid w:val="005F1209"/>
    <w:rsid w:val="005F1FEC"/>
    <w:rsid w:val="005F20FC"/>
    <w:rsid w:val="005F3BA3"/>
    <w:rsid w:val="005F4902"/>
    <w:rsid w:val="005F562B"/>
    <w:rsid w:val="005F7A34"/>
    <w:rsid w:val="0060084D"/>
    <w:rsid w:val="00601D5D"/>
    <w:rsid w:val="00603173"/>
    <w:rsid w:val="00603720"/>
    <w:rsid w:val="006045F9"/>
    <w:rsid w:val="00604E30"/>
    <w:rsid w:val="00606F5C"/>
    <w:rsid w:val="00610CE3"/>
    <w:rsid w:val="0061213E"/>
    <w:rsid w:val="00612143"/>
    <w:rsid w:val="0061363B"/>
    <w:rsid w:val="006143CE"/>
    <w:rsid w:val="00615040"/>
    <w:rsid w:val="0061731B"/>
    <w:rsid w:val="00620B7F"/>
    <w:rsid w:val="006219F6"/>
    <w:rsid w:val="006220CA"/>
    <w:rsid w:val="00622415"/>
    <w:rsid w:val="00622A7C"/>
    <w:rsid w:val="0062381B"/>
    <w:rsid w:val="00624ED6"/>
    <w:rsid w:val="00625F98"/>
    <w:rsid w:val="006260FA"/>
    <w:rsid w:val="00626C8D"/>
    <w:rsid w:val="00627043"/>
    <w:rsid w:val="006300BD"/>
    <w:rsid w:val="006309EC"/>
    <w:rsid w:val="00633950"/>
    <w:rsid w:val="0063557C"/>
    <w:rsid w:val="006355BB"/>
    <w:rsid w:val="006411F1"/>
    <w:rsid w:val="006416F7"/>
    <w:rsid w:val="00641A45"/>
    <w:rsid w:val="00641B56"/>
    <w:rsid w:val="00641C3C"/>
    <w:rsid w:val="00643E96"/>
    <w:rsid w:val="00645766"/>
    <w:rsid w:val="00645C2D"/>
    <w:rsid w:val="00645CC6"/>
    <w:rsid w:val="00646F47"/>
    <w:rsid w:val="006502C1"/>
    <w:rsid w:val="006525C7"/>
    <w:rsid w:val="006540A4"/>
    <w:rsid w:val="00654C9C"/>
    <w:rsid w:val="00654FC3"/>
    <w:rsid w:val="006558C2"/>
    <w:rsid w:val="00657013"/>
    <w:rsid w:val="00657685"/>
    <w:rsid w:val="00657F9F"/>
    <w:rsid w:val="006636B7"/>
    <w:rsid w:val="006666B2"/>
    <w:rsid w:val="006710BA"/>
    <w:rsid w:val="006736EA"/>
    <w:rsid w:val="00674BBF"/>
    <w:rsid w:val="006763F6"/>
    <w:rsid w:val="006775AD"/>
    <w:rsid w:val="00680426"/>
    <w:rsid w:val="00680804"/>
    <w:rsid w:val="00680B2C"/>
    <w:rsid w:val="00682394"/>
    <w:rsid w:val="006824B8"/>
    <w:rsid w:val="006827C2"/>
    <w:rsid w:val="00683B2C"/>
    <w:rsid w:val="00683BA0"/>
    <w:rsid w:val="00683F2B"/>
    <w:rsid w:val="0068794D"/>
    <w:rsid w:val="006907BE"/>
    <w:rsid w:val="00692538"/>
    <w:rsid w:val="00692907"/>
    <w:rsid w:val="006933A6"/>
    <w:rsid w:val="006942E9"/>
    <w:rsid w:val="00695DFD"/>
    <w:rsid w:val="006A0587"/>
    <w:rsid w:val="006A48DA"/>
    <w:rsid w:val="006A57E1"/>
    <w:rsid w:val="006A6352"/>
    <w:rsid w:val="006A75DC"/>
    <w:rsid w:val="006A797D"/>
    <w:rsid w:val="006A7E41"/>
    <w:rsid w:val="006B06FA"/>
    <w:rsid w:val="006B5F69"/>
    <w:rsid w:val="006B625D"/>
    <w:rsid w:val="006B739A"/>
    <w:rsid w:val="006B7C02"/>
    <w:rsid w:val="006C107F"/>
    <w:rsid w:val="006C382C"/>
    <w:rsid w:val="006C3E60"/>
    <w:rsid w:val="006C5BD4"/>
    <w:rsid w:val="006C62CF"/>
    <w:rsid w:val="006C63F4"/>
    <w:rsid w:val="006D14F3"/>
    <w:rsid w:val="006D458B"/>
    <w:rsid w:val="006D523C"/>
    <w:rsid w:val="006D5AF7"/>
    <w:rsid w:val="006D5B56"/>
    <w:rsid w:val="006D6BFC"/>
    <w:rsid w:val="006D7857"/>
    <w:rsid w:val="006D7CA3"/>
    <w:rsid w:val="006E0907"/>
    <w:rsid w:val="006E54E8"/>
    <w:rsid w:val="006E5C1A"/>
    <w:rsid w:val="006E6DA2"/>
    <w:rsid w:val="006F2EC7"/>
    <w:rsid w:val="006F2FB9"/>
    <w:rsid w:val="006F4396"/>
    <w:rsid w:val="006F4D2E"/>
    <w:rsid w:val="006F4E61"/>
    <w:rsid w:val="006F6661"/>
    <w:rsid w:val="00700A9F"/>
    <w:rsid w:val="00702B5D"/>
    <w:rsid w:val="00703F24"/>
    <w:rsid w:val="00704A38"/>
    <w:rsid w:val="00706969"/>
    <w:rsid w:val="00706D07"/>
    <w:rsid w:val="0071009F"/>
    <w:rsid w:val="00714DE0"/>
    <w:rsid w:val="00715217"/>
    <w:rsid w:val="00715568"/>
    <w:rsid w:val="007168B3"/>
    <w:rsid w:val="00716F93"/>
    <w:rsid w:val="0071793F"/>
    <w:rsid w:val="00720BCC"/>
    <w:rsid w:val="00721662"/>
    <w:rsid w:val="00722CE0"/>
    <w:rsid w:val="00723C3F"/>
    <w:rsid w:val="00723FA7"/>
    <w:rsid w:val="00725C17"/>
    <w:rsid w:val="00726705"/>
    <w:rsid w:val="007270DB"/>
    <w:rsid w:val="0072767B"/>
    <w:rsid w:val="00731E72"/>
    <w:rsid w:val="00734497"/>
    <w:rsid w:val="0073609B"/>
    <w:rsid w:val="007368C8"/>
    <w:rsid w:val="0074245C"/>
    <w:rsid w:val="00742876"/>
    <w:rsid w:val="00743239"/>
    <w:rsid w:val="00753B58"/>
    <w:rsid w:val="0075706F"/>
    <w:rsid w:val="007572E8"/>
    <w:rsid w:val="00763B10"/>
    <w:rsid w:val="00764039"/>
    <w:rsid w:val="00764303"/>
    <w:rsid w:val="0076789C"/>
    <w:rsid w:val="00774856"/>
    <w:rsid w:val="00774F47"/>
    <w:rsid w:val="0077642A"/>
    <w:rsid w:val="00776AFD"/>
    <w:rsid w:val="007770A3"/>
    <w:rsid w:val="007805E5"/>
    <w:rsid w:val="00782A12"/>
    <w:rsid w:val="00784BD9"/>
    <w:rsid w:val="00784E04"/>
    <w:rsid w:val="0078548B"/>
    <w:rsid w:val="007857A7"/>
    <w:rsid w:val="00785D69"/>
    <w:rsid w:val="00785E45"/>
    <w:rsid w:val="007867CE"/>
    <w:rsid w:val="007921DD"/>
    <w:rsid w:val="00792472"/>
    <w:rsid w:val="007924A2"/>
    <w:rsid w:val="00793B3E"/>
    <w:rsid w:val="00793FF1"/>
    <w:rsid w:val="00794105"/>
    <w:rsid w:val="00795F6E"/>
    <w:rsid w:val="0079663D"/>
    <w:rsid w:val="007A0990"/>
    <w:rsid w:val="007A3681"/>
    <w:rsid w:val="007A555F"/>
    <w:rsid w:val="007A69E3"/>
    <w:rsid w:val="007A6BC2"/>
    <w:rsid w:val="007A7969"/>
    <w:rsid w:val="007B151E"/>
    <w:rsid w:val="007B15A3"/>
    <w:rsid w:val="007B4D67"/>
    <w:rsid w:val="007B68D3"/>
    <w:rsid w:val="007C541D"/>
    <w:rsid w:val="007C54E1"/>
    <w:rsid w:val="007C66F5"/>
    <w:rsid w:val="007C6944"/>
    <w:rsid w:val="007C6CCD"/>
    <w:rsid w:val="007C71EF"/>
    <w:rsid w:val="007D1545"/>
    <w:rsid w:val="007D441C"/>
    <w:rsid w:val="007D44A4"/>
    <w:rsid w:val="007E0E96"/>
    <w:rsid w:val="007E1443"/>
    <w:rsid w:val="007E20F8"/>
    <w:rsid w:val="007E2F7A"/>
    <w:rsid w:val="007E3CB6"/>
    <w:rsid w:val="007E4C36"/>
    <w:rsid w:val="007E4E48"/>
    <w:rsid w:val="007E6222"/>
    <w:rsid w:val="007F168B"/>
    <w:rsid w:val="007F1D74"/>
    <w:rsid w:val="007F27E9"/>
    <w:rsid w:val="007F3213"/>
    <w:rsid w:val="007F33A5"/>
    <w:rsid w:val="007F414C"/>
    <w:rsid w:val="007F5376"/>
    <w:rsid w:val="007F7393"/>
    <w:rsid w:val="007F7B87"/>
    <w:rsid w:val="00800C73"/>
    <w:rsid w:val="00800CC6"/>
    <w:rsid w:val="008013C2"/>
    <w:rsid w:val="00802672"/>
    <w:rsid w:val="00803395"/>
    <w:rsid w:val="00805EED"/>
    <w:rsid w:val="00807F30"/>
    <w:rsid w:val="0081013C"/>
    <w:rsid w:val="00810F6C"/>
    <w:rsid w:val="00813034"/>
    <w:rsid w:val="00813669"/>
    <w:rsid w:val="00814474"/>
    <w:rsid w:val="00814747"/>
    <w:rsid w:val="00816D9D"/>
    <w:rsid w:val="00817F33"/>
    <w:rsid w:val="0082299C"/>
    <w:rsid w:val="00822FEC"/>
    <w:rsid w:val="008234C9"/>
    <w:rsid w:val="00823A86"/>
    <w:rsid w:val="00824628"/>
    <w:rsid w:val="008270DD"/>
    <w:rsid w:val="00827143"/>
    <w:rsid w:val="00832673"/>
    <w:rsid w:val="008327D7"/>
    <w:rsid w:val="00832C98"/>
    <w:rsid w:val="00832F81"/>
    <w:rsid w:val="0083596D"/>
    <w:rsid w:val="00835A5B"/>
    <w:rsid w:val="00835A5F"/>
    <w:rsid w:val="00836C6A"/>
    <w:rsid w:val="0084042E"/>
    <w:rsid w:val="00840432"/>
    <w:rsid w:val="00842C65"/>
    <w:rsid w:val="0084604E"/>
    <w:rsid w:val="008460FA"/>
    <w:rsid w:val="00846704"/>
    <w:rsid w:val="008478F1"/>
    <w:rsid w:val="00850429"/>
    <w:rsid w:val="0085152F"/>
    <w:rsid w:val="00852881"/>
    <w:rsid w:val="008528B0"/>
    <w:rsid w:val="00852FE6"/>
    <w:rsid w:val="008556FF"/>
    <w:rsid w:val="00855B2D"/>
    <w:rsid w:val="00856414"/>
    <w:rsid w:val="008571B0"/>
    <w:rsid w:val="008573B1"/>
    <w:rsid w:val="00861094"/>
    <w:rsid w:val="00861608"/>
    <w:rsid w:val="00863441"/>
    <w:rsid w:val="0086383B"/>
    <w:rsid w:val="00864962"/>
    <w:rsid w:val="00864B0C"/>
    <w:rsid w:val="00865500"/>
    <w:rsid w:val="0087019B"/>
    <w:rsid w:val="00870CC7"/>
    <w:rsid w:val="00871F6F"/>
    <w:rsid w:val="00872D36"/>
    <w:rsid w:val="00873112"/>
    <w:rsid w:val="008753C8"/>
    <w:rsid w:val="00876784"/>
    <w:rsid w:val="008768EE"/>
    <w:rsid w:val="00885642"/>
    <w:rsid w:val="00886CBA"/>
    <w:rsid w:val="00887D39"/>
    <w:rsid w:val="008912A6"/>
    <w:rsid w:val="00893127"/>
    <w:rsid w:val="00893745"/>
    <w:rsid w:val="00895107"/>
    <w:rsid w:val="008977D6"/>
    <w:rsid w:val="008A0ADA"/>
    <w:rsid w:val="008A69B9"/>
    <w:rsid w:val="008A6D07"/>
    <w:rsid w:val="008A765F"/>
    <w:rsid w:val="008B073E"/>
    <w:rsid w:val="008B0937"/>
    <w:rsid w:val="008B0B9F"/>
    <w:rsid w:val="008B0BE1"/>
    <w:rsid w:val="008B1068"/>
    <w:rsid w:val="008B43DA"/>
    <w:rsid w:val="008B56A6"/>
    <w:rsid w:val="008B76BA"/>
    <w:rsid w:val="008C191A"/>
    <w:rsid w:val="008C259F"/>
    <w:rsid w:val="008C362F"/>
    <w:rsid w:val="008C6632"/>
    <w:rsid w:val="008C6D5C"/>
    <w:rsid w:val="008C7D66"/>
    <w:rsid w:val="008D2821"/>
    <w:rsid w:val="008D432D"/>
    <w:rsid w:val="008D479A"/>
    <w:rsid w:val="008D56DE"/>
    <w:rsid w:val="008D6A30"/>
    <w:rsid w:val="008D6C56"/>
    <w:rsid w:val="008D7F8D"/>
    <w:rsid w:val="008E088F"/>
    <w:rsid w:val="008E3C0D"/>
    <w:rsid w:val="008E62E0"/>
    <w:rsid w:val="008E63B1"/>
    <w:rsid w:val="008E6910"/>
    <w:rsid w:val="008E6EA4"/>
    <w:rsid w:val="008E77E5"/>
    <w:rsid w:val="008F110B"/>
    <w:rsid w:val="008F1495"/>
    <w:rsid w:val="008F1F8F"/>
    <w:rsid w:val="008F60DA"/>
    <w:rsid w:val="008F720D"/>
    <w:rsid w:val="00900534"/>
    <w:rsid w:val="00901684"/>
    <w:rsid w:val="00904DE1"/>
    <w:rsid w:val="00905877"/>
    <w:rsid w:val="00905E7D"/>
    <w:rsid w:val="009066A9"/>
    <w:rsid w:val="0090671D"/>
    <w:rsid w:val="0091105F"/>
    <w:rsid w:val="009111CC"/>
    <w:rsid w:val="0091131E"/>
    <w:rsid w:val="00913200"/>
    <w:rsid w:val="009159D0"/>
    <w:rsid w:val="00917B84"/>
    <w:rsid w:val="009201A2"/>
    <w:rsid w:val="009227DE"/>
    <w:rsid w:val="0092281C"/>
    <w:rsid w:val="00924305"/>
    <w:rsid w:val="00924A08"/>
    <w:rsid w:val="009252FB"/>
    <w:rsid w:val="0092679D"/>
    <w:rsid w:val="0092709A"/>
    <w:rsid w:val="00927772"/>
    <w:rsid w:val="00930423"/>
    <w:rsid w:val="009304AE"/>
    <w:rsid w:val="00931589"/>
    <w:rsid w:val="0093257F"/>
    <w:rsid w:val="00934297"/>
    <w:rsid w:val="00937D62"/>
    <w:rsid w:val="009403CB"/>
    <w:rsid w:val="00940AD7"/>
    <w:rsid w:val="00942E41"/>
    <w:rsid w:val="009434B1"/>
    <w:rsid w:val="009463D3"/>
    <w:rsid w:val="00947FA0"/>
    <w:rsid w:val="00950113"/>
    <w:rsid w:val="009509FE"/>
    <w:rsid w:val="00953AF8"/>
    <w:rsid w:val="00953FFE"/>
    <w:rsid w:val="009542C0"/>
    <w:rsid w:val="0095508F"/>
    <w:rsid w:val="00956A1C"/>
    <w:rsid w:val="009606FB"/>
    <w:rsid w:val="00961BAD"/>
    <w:rsid w:val="009641E0"/>
    <w:rsid w:val="0096586E"/>
    <w:rsid w:val="00965BF6"/>
    <w:rsid w:val="00970132"/>
    <w:rsid w:val="0097079B"/>
    <w:rsid w:val="0097147F"/>
    <w:rsid w:val="0097166C"/>
    <w:rsid w:val="009746F1"/>
    <w:rsid w:val="0097725C"/>
    <w:rsid w:val="00980080"/>
    <w:rsid w:val="00981FF2"/>
    <w:rsid w:val="00984223"/>
    <w:rsid w:val="009920BB"/>
    <w:rsid w:val="00993174"/>
    <w:rsid w:val="0099411D"/>
    <w:rsid w:val="00995FBF"/>
    <w:rsid w:val="009A0953"/>
    <w:rsid w:val="009A2507"/>
    <w:rsid w:val="009A4F7D"/>
    <w:rsid w:val="009A50E3"/>
    <w:rsid w:val="009A55C8"/>
    <w:rsid w:val="009A5A92"/>
    <w:rsid w:val="009A6932"/>
    <w:rsid w:val="009A7D22"/>
    <w:rsid w:val="009B0003"/>
    <w:rsid w:val="009B08B9"/>
    <w:rsid w:val="009B1159"/>
    <w:rsid w:val="009B14E2"/>
    <w:rsid w:val="009B18F1"/>
    <w:rsid w:val="009B1E19"/>
    <w:rsid w:val="009B24E3"/>
    <w:rsid w:val="009B3AEC"/>
    <w:rsid w:val="009B3F1E"/>
    <w:rsid w:val="009B4214"/>
    <w:rsid w:val="009B42AA"/>
    <w:rsid w:val="009B5EDA"/>
    <w:rsid w:val="009C081A"/>
    <w:rsid w:val="009C144F"/>
    <w:rsid w:val="009C1F82"/>
    <w:rsid w:val="009C3DCF"/>
    <w:rsid w:val="009C4B0C"/>
    <w:rsid w:val="009C6567"/>
    <w:rsid w:val="009D03F7"/>
    <w:rsid w:val="009D07A1"/>
    <w:rsid w:val="009D1289"/>
    <w:rsid w:val="009E0AA4"/>
    <w:rsid w:val="009E0F06"/>
    <w:rsid w:val="009E416A"/>
    <w:rsid w:val="009E7139"/>
    <w:rsid w:val="009F1D82"/>
    <w:rsid w:val="009F30F4"/>
    <w:rsid w:val="009F353E"/>
    <w:rsid w:val="009F534F"/>
    <w:rsid w:val="009F64DA"/>
    <w:rsid w:val="009F6716"/>
    <w:rsid w:val="009F7469"/>
    <w:rsid w:val="009F779B"/>
    <w:rsid w:val="00A00187"/>
    <w:rsid w:val="00A01D1F"/>
    <w:rsid w:val="00A02252"/>
    <w:rsid w:val="00A025F8"/>
    <w:rsid w:val="00A045CA"/>
    <w:rsid w:val="00A056B5"/>
    <w:rsid w:val="00A129F1"/>
    <w:rsid w:val="00A138B9"/>
    <w:rsid w:val="00A14364"/>
    <w:rsid w:val="00A145E9"/>
    <w:rsid w:val="00A16EBE"/>
    <w:rsid w:val="00A17C90"/>
    <w:rsid w:val="00A224DE"/>
    <w:rsid w:val="00A22F5C"/>
    <w:rsid w:val="00A27309"/>
    <w:rsid w:val="00A314B5"/>
    <w:rsid w:val="00A36D64"/>
    <w:rsid w:val="00A42AA0"/>
    <w:rsid w:val="00A4442F"/>
    <w:rsid w:val="00A44515"/>
    <w:rsid w:val="00A44A89"/>
    <w:rsid w:val="00A46DA3"/>
    <w:rsid w:val="00A52699"/>
    <w:rsid w:val="00A5646A"/>
    <w:rsid w:val="00A57096"/>
    <w:rsid w:val="00A615DA"/>
    <w:rsid w:val="00A61F99"/>
    <w:rsid w:val="00A63FB0"/>
    <w:rsid w:val="00A6518D"/>
    <w:rsid w:val="00A66F81"/>
    <w:rsid w:val="00A71FCE"/>
    <w:rsid w:val="00A74A03"/>
    <w:rsid w:val="00A7665A"/>
    <w:rsid w:val="00A76DD1"/>
    <w:rsid w:val="00A77103"/>
    <w:rsid w:val="00A836CE"/>
    <w:rsid w:val="00A862E1"/>
    <w:rsid w:val="00A86780"/>
    <w:rsid w:val="00A905E5"/>
    <w:rsid w:val="00A90709"/>
    <w:rsid w:val="00A908D4"/>
    <w:rsid w:val="00A90ABB"/>
    <w:rsid w:val="00A90C73"/>
    <w:rsid w:val="00A91B73"/>
    <w:rsid w:val="00A9262D"/>
    <w:rsid w:val="00A927C6"/>
    <w:rsid w:val="00A94557"/>
    <w:rsid w:val="00A948F8"/>
    <w:rsid w:val="00A96FA8"/>
    <w:rsid w:val="00AA2290"/>
    <w:rsid w:val="00AA31EB"/>
    <w:rsid w:val="00AA4767"/>
    <w:rsid w:val="00AA4F18"/>
    <w:rsid w:val="00AA5E84"/>
    <w:rsid w:val="00AA62F8"/>
    <w:rsid w:val="00AA65AB"/>
    <w:rsid w:val="00AA7739"/>
    <w:rsid w:val="00AB08EA"/>
    <w:rsid w:val="00AB0EC1"/>
    <w:rsid w:val="00AB1E3F"/>
    <w:rsid w:val="00AB2382"/>
    <w:rsid w:val="00AB2B85"/>
    <w:rsid w:val="00AB2E76"/>
    <w:rsid w:val="00AB3E84"/>
    <w:rsid w:val="00AB438B"/>
    <w:rsid w:val="00AB4481"/>
    <w:rsid w:val="00AB59C6"/>
    <w:rsid w:val="00AB5E2A"/>
    <w:rsid w:val="00AB5E60"/>
    <w:rsid w:val="00AB7B6B"/>
    <w:rsid w:val="00AC0F15"/>
    <w:rsid w:val="00AC15FF"/>
    <w:rsid w:val="00AC2DF2"/>
    <w:rsid w:val="00AC317A"/>
    <w:rsid w:val="00AD053F"/>
    <w:rsid w:val="00AD19B7"/>
    <w:rsid w:val="00AD3137"/>
    <w:rsid w:val="00AD4A07"/>
    <w:rsid w:val="00AD4A97"/>
    <w:rsid w:val="00AD5CF6"/>
    <w:rsid w:val="00AD70CE"/>
    <w:rsid w:val="00AE0E22"/>
    <w:rsid w:val="00AE14FE"/>
    <w:rsid w:val="00AE35BE"/>
    <w:rsid w:val="00AE6A86"/>
    <w:rsid w:val="00AE72E1"/>
    <w:rsid w:val="00AF0AE7"/>
    <w:rsid w:val="00AF6A14"/>
    <w:rsid w:val="00B00A84"/>
    <w:rsid w:val="00B01047"/>
    <w:rsid w:val="00B0284B"/>
    <w:rsid w:val="00B0333C"/>
    <w:rsid w:val="00B04701"/>
    <w:rsid w:val="00B05B80"/>
    <w:rsid w:val="00B0606D"/>
    <w:rsid w:val="00B10F89"/>
    <w:rsid w:val="00B11FDF"/>
    <w:rsid w:val="00B134CC"/>
    <w:rsid w:val="00B13C62"/>
    <w:rsid w:val="00B14B4C"/>
    <w:rsid w:val="00B1525B"/>
    <w:rsid w:val="00B15945"/>
    <w:rsid w:val="00B23BCD"/>
    <w:rsid w:val="00B23D0E"/>
    <w:rsid w:val="00B24286"/>
    <w:rsid w:val="00B25D84"/>
    <w:rsid w:val="00B26E26"/>
    <w:rsid w:val="00B3040D"/>
    <w:rsid w:val="00B35054"/>
    <w:rsid w:val="00B35617"/>
    <w:rsid w:val="00B35BCF"/>
    <w:rsid w:val="00B365C9"/>
    <w:rsid w:val="00B40627"/>
    <w:rsid w:val="00B408A0"/>
    <w:rsid w:val="00B422C1"/>
    <w:rsid w:val="00B42D13"/>
    <w:rsid w:val="00B439CE"/>
    <w:rsid w:val="00B43FF7"/>
    <w:rsid w:val="00B45C32"/>
    <w:rsid w:val="00B46AE5"/>
    <w:rsid w:val="00B47438"/>
    <w:rsid w:val="00B47C9C"/>
    <w:rsid w:val="00B50674"/>
    <w:rsid w:val="00B507CB"/>
    <w:rsid w:val="00B50E72"/>
    <w:rsid w:val="00B52851"/>
    <w:rsid w:val="00B52D15"/>
    <w:rsid w:val="00B5428E"/>
    <w:rsid w:val="00B55D45"/>
    <w:rsid w:val="00B55E07"/>
    <w:rsid w:val="00B574D8"/>
    <w:rsid w:val="00B604DC"/>
    <w:rsid w:val="00B615D4"/>
    <w:rsid w:val="00B61CCD"/>
    <w:rsid w:val="00B626D7"/>
    <w:rsid w:val="00B633D3"/>
    <w:rsid w:val="00B65B46"/>
    <w:rsid w:val="00B67F7F"/>
    <w:rsid w:val="00B71A6C"/>
    <w:rsid w:val="00B755D9"/>
    <w:rsid w:val="00B8252F"/>
    <w:rsid w:val="00B830B6"/>
    <w:rsid w:val="00B8576B"/>
    <w:rsid w:val="00B91053"/>
    <w:rsid w:val="00B92CA5"/>
    <w:rsid w:val="00B93049"/>
    <w:rsid w:val="00B944E6"/>
    <w:rsid w:val="00B94C43"/>
    <w:rsid w:val="00B97BF4"/>
    <w:rsid w:val="00BA03E8"/>
    <w:rsid w:val="00BA134E"/>
    <w:rsid w:val="00BA1414"/>
    <w:rsid w:val="00BA2AB8"/>
    <w:rsid w:val="00BA448F"/>
    <w:rsid w:val="00BA59AA"/>
    <w:rsid w:val="00BA6456"/>
    <w:rsid w:val="00BA7069"/>
    <w:rsid w:val="00BA7180"/>
    <w:rsid w:val="00BB19FD"/>
    <w:rsid w:val="00BB1EB4"/>
    <w:rsid w:val="00BB25F7"/>
    <w:rsid w:val="00BB3BBB"/>
    <w:rsid w:val="00BB4675"/>
    <w:rsid w:val="00BB5297"/>
    <w:rsid w:val="00BB5770"/>
    <w:rsid w:val="00BB665D"/>
    <w:rsid w:val="00BB799F"/>
    <w:rsid w:val="00BC28B1"/>
    <w:rsid w:val="00BC3013"/>
    <w:rsid w:val="00BC44C9"/>
    <w:rsid w:val="00BC5B5F"/>
    <w:rsid w:val="00BD0835"/>
    <w:rsid w:val="00BD1604"/>
    <w:rsid w:val="00BD164B"/>
    <w:rsid w:val="00BD3EBA"/>
    <w:rsid w:val="00BD587A"/>
    <w:rsid w:val="00BE03EC"/>
    <w:rsid w:val="00BE066F"/>
    <w:rsid w:val="00BE0E02"/>
    <w:rsid w:val="00BE2815"/>
    <w:rsid w:val="00BE2842"/>
    <w:rsid w:val="00BE2F53"/>
    <w:rsid w:val="00BE52D3"/>
    <w:rsid w:val="00BE62BD"/>
    <w:rsid w:val="00BF18FE"/>
    <w:rsid w:val="00BF1D7F"/>
    <w:rsid w:val="00BF382A"/>
    <w:rsid w:val="00BF64B6"/>
    <w:rsid w:val="00C01499"/>
    <w:rsid w:val="00C0149E"/>
    <w:rsid w:val="00C03C71"/>
    <w:rsid w:val="00C03D34"/>
    <w:rsid w:val="00C04188"/>
    <w:rsid w:val="00C04BC9"/>
    <w:rsid w:val="00C06DCE"/>
    <w:rsid w:val="00C06E66"/>
    <w:rsid w:val="00C073FB"/>
    <w:rsid w:val="00C14D21"/>
    <w:rsid w:val="00C162FB"/>
    <w:rsid w:val="00C17F85"/>
    <w:rsid w:val="00C21C24"/>
    <w:rsid w:val="00C23CD6"/>
    <w:rsid w:val="00C24FE0"/>
    <w:rsid w:val="00C26330"/>
    <w:rsid w:val="00C27447"/>
    <w:rsid w:val="00C35B4B"/>
    <w:rsid w:val="00C37A2D"/>
    <w:rsid w:val="00C42578"/>
    <w:rsid w:val="00C46A69"/>
    <w:rsid w:val="00C5079E"/>
    <w:rsid w:val="00C516A2"/>
    <w:rsid w:val="00C51912"/>
    <w:rsid w:val="00C53535"/>
    <w:rsid w:val="00C53AFF"/>
    <w:rsid w:val="00C53E25"/>
    <w:rsid w:val="00C5590A"/>
    <w:rsid w:val="00C55CD3"/>
    <w:rsid w:val="00C57D8A"/>
    <w:rsid w:val="00C57EF5"/>
    <w:rsid w:val="00C57F03"/>
    <w:rsid w:val="00C6045E"/>
    <w:rsid w:val="00C62530"/>
    <w:rsid w:val="00C66512"/>
    <w:rsid w:val="00C665B6"/>
    <w:rsid w:val="00C67083"/>
    <w:rsid w:val="00C670B6"/>
    <w:rsid w:val="00C7033C"/>
    <w:rsid w:val="00C711D5"/>
    <w:rsid w:val="00C71B60"/>
    <w:rsid w:val="00C729CC"/>
    <w:rsid w:val="00C72E75"/>
    <w:rsid w:val="00C75B26"/>
    <w:rsid w:val="00C75B8A"/>
    <w:rsid w:val="00C76E33"/>
    <w:rsid w:val="00C7702E"/>
    <w:rsid w:val="00C77209"/>
    <w:rsid w:val="00C80B19"/>
    <w:rsid w:val="00C82125"/>
    <w:rsid w:val="00C836A8"/>
    <w:rsid w:val="00C9189A"/>
    <w:rsid w:val="00C91B89"/>
    <w:rsid w:val="00C927EC"/>
    <w:rsid w:val="00C937E6"/>
    <w:rsid w:val="00C96D97"/>
    <w:rsid w:val="00C96E23"/>
    <w:rsid w:val="00C975E7"/>
    <w:rsid w:val="00CA09F5"/>
    <w:rsid w:val="00CA117D"/>
    <w:rsid w:val="00CA31BC"/>
    <w:rsid w:val="00CA3445"/>
    <w:rsid w:val="00CA40C8"/>
    <w:rsid w:val="00CA46B8"/>
    <w:rsid w:val="00CA46F5"/>
    <w:rsid w:val="00CA4BBE"/>
    <w:rsid w:val="00CA4F34"/>
    <w:rsid w:val="00CA7B8D"/>
    <w:rsid w:val="00CB0469"/>
    <w:rsid w:val="00CB0AFF"/>
    <w:rsid w:val="00CB1793"/>
    <w:rsid w:val="00CB1C17"/>
    <w:rsid w:val="00CB28A0"/>
    <w:rsid w:val="00CB29B8"/>
    <w:rsid w:val="00CB44DA"/>
    <w:rsid w:val="00CC0D5F"/>
    <w:rsid w:val="00CC523E"/>
    <w:rsid w:val="00CC74B1"/>
    <w:rsid w:val="00CC74EA"/>
    <w:rsid w:val="00CD1D83"/>
    <w:rsid w:val="00CD40A8"/>
    <w:rsid w:val="00CD49A8"/>
    <w:rsid w:val="00CD509F"/>
    <w:rsid w:val="00CE0925"/>
    <w:rsid w:val="00CE1B89"/>
    <w:rsid w:val="00CE2ECE"/>
    <w:rsid w:val="00CE5CEA"/>
    <w:rsid w:val="00CE6CFF"/>
    <w:rsid w:val="00CE76A1"/>
    <w:rsid w:val="00CE7A2E"/>
    <w:rsid w:val="00CE7AF1"/>
    <w:rsid w:val="00CE7B56"/>
    <w:rsid w:val="00CF08F4"/>
    <w:rsid w:val="00CF35DE"/>
    <w:rsid w:val="00CF4270"/>
    <w:rsid w:val="00CF58A0"/>
    <w:rsid w:val="00CF77DD"/>
    <w:rsid w:val="00D011BB"/>
    <w:rsid w:val="00D03650"/>
    <w:rsid w:val="00D039EF"/>
    <w:rsid w:val="00D041C9"/>
    <w:rsid w:val="00D04231"/>
    <w:rsid w:val="00D06678"/>
    <w:rsid w:val="00D07156"/>
    <w:rsid w:val="00D078A3"/>
    <w:rsid w:val="00D10E8C"/>
    <w:rsid w:val="00D10F9C"/>
    <w:rsid w:val="00D11810"/>
    <w:rsid w:val="00D118AE"/>
    <w:rsid w:val="00D124E2"/>
    <w:rsid w:val="00D13061"/>
    <w:rsid w:val="00D1401F"/>
    <w:rsid w:val="00D148FF"/>
    <w:rsid w:val="00D16932"/>
    <w:rsid w:val="00D16968"/>
    <w:rsid w:val="00D172EF"/>
    <w:rsid w:val="00D20D28"/>
    <w:rsid w:val="00D21356"/>
    <w:rsid w:val="00D215A3"/>
    <w:rsid w:val="00D22208"/>
    <w:rsid w:val="00D22821"/>
    <w:rsid w:val="00D25615"/>
    <w:rsid w:val="00D26AC7"/>
    <w:rsid w:val="00D27939"/>
    <w:rsid w:val="00D27A73"/>
    <w:rsid w:val="00D31F99"/>
    <w:rsid w:val="00D32B76"/>
    <w:rsid w:val="00D35F4A"/>
    <w:rsid w:val="00D43C02"/>
    <w:rsid w:val="00D44EF7"/>
    <w:rsid w:val="00D4765D"/>
    <w:rsid w:val="00D503DF"/>
    <w:rsid w:val="00D522FF"/>
    <w:rsid w:val="00D523BB"/>
    <w:rsid w:val="00D52F73"/>
    <w:rsid w:val="00D54A37"/>
    <w:rsid w:val="00D56963"/>
    <w:rsid w:val="00D61BA9"/>
    <w:rsid w:val="00D629D5"/>
    <w:rsid w:val="00D64B9D"/>
    <w:rsid w:val="00D64C97"/>
    <w:rsid w:val="00D652C4"/>
    <w:rsid w:val="00D65917"/>
    <w:rsid w:val="00D677B5"/>
    <w:rsid w:val="00D77090"/>
    <w:rsid w:val="00D80EA3"/>
    <w:rsid w:val="00D8307A"/>
    <w:rsid w:val="00D83182"/>
    <w:rsid w:val="00D84487"/>
    <w:rsid w:val="00D85725"/>
    <w:rsid w:val="00D863EA"/>
    <w:rsid w:val="00D865C7"/>
    <w:rsid w:val="00D87D99"/>
    <w:rsid w:val="00D91996"/>
    <w:rsid w:val="00D928F6"/>
    <w:rsid w:val="00D92C25"/>
    <w:rsid w:val="00D93127"/>
    <w:rsid w:val="00D9412D"/>
    <w:rsid w:val="00D94BC3"/>
    <w:rsid w:val="00D94DA1"/>
    <w:rsid w:val="00D9501B"/>
    <w:rsid w:val="00D959F9"/>
    <w:rsid w:val="00D96589"/>
    <w:rsid w:val="00D97BEF"/>
    <w:rsid w:val="00DA058A"/>
    <w:rsid w:val="00DA0EAA"/>
    <w:rsid w:val="00DA39F4"/>
    <w:rsid w:val="00DA468A"/>
    <w:rsid w:val="00DA5C75"/>
    <w:rsid w:val="00DA7C1B"/>
    <w:rsid w:val="00DB14B2"/>
    <w:rsid w:val="00DB18F0"/>
    <w:rsid w:val="00DB1BD4"/>
    <w:rsid w:val="00DB7DA1"/>
    <w:rsid w:val="00DC2B96"/>
    <w:rsid w:val="00DC33EF"/>
    <w:rsid w:val="00DC33FD"/>
    <w:rsid w:val="00DD2BAD"/>
    <w:rsid w:val="00DD4179"/>
    <w:rsid w:val="00DD4B69"/>
    <w:rsid w:val="00DD5DFE"/>
    <w:rsid w:val="00DD5FD3"/>
    <w:rsid w:val="00DD602F"/>
    <w:rsid w:val="00DD6ABD"/>
    <w:rsid w:val="00DD7DB7"/>
    <w:rsid w:val="00DE100F"/>
    <w:rsid w:val="00DE1BBF"/>
    <w:rsid w:val="00DE1C5E"/>
    <w:rsid w:val="00DE1FCB"/>
    <w:rsid w:val="00DE2142"/>
    <w:rsid w:val="00DE425F"/>
    <w:rsid w:val="00DE5B55"/>
    <w:rsid w:val="00DF059F"/>
    <w:rsid w:val="00DF3489"/>
    <w:rsid w:val="00DF3EA1"/>
    <w:rsid w:val="00DF3F25"/>
    <w:rsid w:val="00DF43B5"/>
    <w:rsid w:val="00DF678B"/>
    <w:rsid w:val="00E0286A"/>
    <w:rsid w:val="00E03E23"/>
    <w:rsid w:val="00E04413"/>
    <w:rsid w:val="00E0447A"/>
    <w:rsid w:val="00E04C99"/>
    <w:rsid w:val="00E107F5"/>
    <w:rsid w:val="00E113F3"/>
    <w:rsid w:val="00E116BD"/>
    <w:rsid w:val="00E11B64"/>
    <w:rsid w:val="00E12C5B"/>
    <w:rsid w:val="00E130DB"/>
    <w:rsid w:val="00E1328A"/>
    <w:rsid w:val="00E13AE2"/>
    <w:rsid w:val="00E141EA"/>
    <w:rsid w:val="00E14B36"/>
    <w:rsid w:val="00E15132"/>
    <w:rsid w:val="00E157BA"/>
    <w:rsid w:val="00E16FCE"/>
    <w:rsid w:val="00E17E5D"/>
    <w:rsid w:val="00E2120C"/>
    <w:rsid w:val="00E212C0"/>
    <w:rsid w:val="00E22A84"/>
    <w:rsid w:val="00E22F93"/>
    <w:rsid w:val="00E235E0"/>
    <w:rsid w:val="00E2579E"/>
    <w:rsid w:val="00E30323"/>
    <w:rsid w:val="00E306AB"/>
    <w:rsid w:val="00E312CB"/>
    <w:rsid w:val="00E33006"/>
    <w:rsid w:val="00E3401E"/>
    <w:rsid w:val="00E34B10"/>
    <w:rsid w:val="00E35E64"/>
    <w:rsid w:val="00E3615D"/>
    <w:rsid w:val="00E36501"/>
    <w:rsid w:val="00E37192"/>
    <w:rsid w:val="00E44DDD"/>
    <w:rsid w:val="00E521DE"/>
    <w:rsid w:val="00E54937"/>
    <w:rsid w:val="00E551AE"/>
    <w:rsid w:val="00E60324"/>
    <w:rsid w:val="00E63414"/>
    <w:rsid w:val="00E639E6"/>
    <w:rsid w:val="00E6467E"/>
    <w:rsid w:val="00E6535D"/>
    <w:rsid w:val="00E70C71"/>
    <w:rsid w:val="00E70DC7"/>
    <w:rsid w:val="00E70E0A"/>
    <w:rsid w:val="00E71228"/>
    <w:rsid w:val="00E7239C"/>
    <w:rsid w:val="00E7279B"/>
    <w:rsid w:val="00E73355"/>
    <w:rsid w:val="00E73568"/>
    <w:rsid w:val="00E73A0D"/>
    <w:rsid w:val="00E74553"/>
    <w:rsid w:val="00E74EA2"/>
    <w:rsid w:val="00E769BC"/>
    <w:rsid w:val="00E8013B"/>
    <w:rsid w:val="00E816D6"/>
    <w:rsid w:val="00E836B4"/>
    <w:rsid w:val="00E84C95"/>
    <w:rsid w:val="00E867B6"/>
    <w:rsid w:val="00E87353"/>
    <w:rsid w:val="00E93035"/>
    <w:rsid w:val="00E931E2"/>
    <w:rsid w:val="00E95511"/>
    <w:rsid w:val="00E958E8"/>
    <w:rsid w:val="00E95975"/>
    <w:rsid w:val="00E97D4B"/>
    <w:rsid w:val="00EA1C1A"/>
    <w:rsid w:val="00EA29FF"/>
    <w:rsid w:val="00EA33BF"/>
    <w:rsid w:val="00EA5C69"/>
    <w:rsid w:val="00EA6379"/>
    <w:rsid w:val="00EA666F"/>
    <w:rsid w:val="00EA67E0"/>
    <w:rsid w:val="00EA6F3F"/>
    <w:rsid w:val="00EA7480"/>
    <w:rsid w:val="00EA784D"/>
    <w:rsid w:val="00EB092C"/>
    <w:rsid w:val="00EB3897"/>
    <w:rsid w:val="00EB38EC"/>
    <w:rsid w:val="00EB3A4B"/>
    <w:rsid w:val="00EB3A7C"/>
    <w:rsid w:val="00EB4AD0"/>
    <w:rsid w:val="00EB4C46"/>
    <w:rsid w:val="00EB5104"/>
    <w:rsid w:val="00EB66E3"/>
    <w:rsid w:val="00EB739B"/>
    <w:rsid w:val="00EB76C2"/>
    <w:rsid w:val="00EB7BEA"/>
    <w:rsid w:val="00EC23C0"/>
    <w:rsid w:val="00EC6F19"/>
    <w:rsid w:val="00EC7890"/>
    <w:rsid w:val="00EC7C66"/>
    <w:rsid w:val="00ED0E9A"/>
    <w:rsid w:val="00ED24AB"/>
    <w:rsid w:val="00ED2EA7"/>
    <w:rsid w:val="00ED2F15"/>
    <w:rsid w:val="00ED4DF6"/>
    <w:rsid w:val="00ED5DFB"/>
    <w:rsid w:val="00ED64A6"/>
    <w:rsid w:val="00EE0E51"/>
    <w:rsid w:val="00EE0FD3"/>
    <w:rsid w:val="00EE16E2"/>
    <w:rsid w:val="00EE1AEF"/>
    <w:rsid w:val="00EE28FB"/>
    <w:rsid w:val="00EE4129"/>
    <w:rsid w:val="00EE44C7"/>
    <w:rsid w:val="00EE48F0"/>
    <w:rsid w:val="00EE645F"/>
    <w:rsid w:val="00EE6658"/>
    <w:rsid w:val="00EE7436"/>
    <w:rsid w:val="00EE77D9"/>
    <w:rsid w:val="00EF0CB9"/>
    <w:rsid w:val="00EF1707"/>
    <w:rsid w:val="00EF265F"/>
    <w:rsid w:val="00EF33C6"/>
    <w:rsid w:val="00EF59FB"/>
    <w:rsid w:val="00F00C82"/>
    <w:rsid w:val="00F01272"/>
    <w:rsid w:val="00F0200B"/>
    <w:rsid w:val="00F02631"/>
    <w:rsid w:val="00F0451A"/>
    <w:rsid w:val="00F04838"/>
    <w:rsid w:val="00F04948"/>
    <w:rsid w:val="00F04B4F"/>
    <w:rsid w:val="00F06BB2"/>
    <w:rsid w:val="00F07D94"/>
    <w:rsid w:val="00F10168"/>
    <w:rsid w:val="00F10F48"/>
    <w:rsid w:val="00F11B18"/>
    <w:rsid w:val="00F12841"/>
    <w:rsid w:val="00F14839"/>
    <w:rsid w:val="00F159E9"/>
    <w:rsid w:val="00F16836"/>
    <w:rsid w:val="00F16A6A"/>
    <w:rsid w:val="00F1749C"/>
    <w:rsid w:val="00F227F7"/>
    <w:rsid w:val="00F23147"/>
    <w:rsid w:val="00F26849"/>
    <w:rsid w:val="00F26FC3"/>
    <w:rsid w:val="00F2777F"/>
    <w:rsid w:val="00F27C80"/>
    <w:rsid w:val="00F35065"/>
    <w:rsid w:val="00F35D11"/>
    <w:rsid w:val="00F3634D"/>
    <w:rsid w:val="00F37AFB"/>
    <w:rsid w:val="00F410A0"/>
    <w:rsid w:val="00F41A6D"/>
    <w:rsid w:val="00F41F91"/>
    <w:rsid w:val="00F42333"/>
    <w:rsid w:val="00F42435"/>
    <w:rsid w:val="00F43420"/>
    <w:rsid w:val="00F44A30"/>
    <w:rsid w:val="00F477A2"/>
    <w:rsid w:val="00F47CCA"/>
    <w:rsid w:val="00F51663"/>
    <w:rsid w:val="00F522D3"/>
    <w:rsid w:val="00F56071"/>
    <w:rsid w:val="00F56CBE"/>
    <w:rsid w:val="00F616E5"/>
    <w:rsid w:val="00F61A27"/>
    <w:rsid w:val="00F61BBF"/>
    <w:rsid w:val="00F62C2A"/>
    <w:rsid w:val="00F63560"/>
    <w:rsid w:val="00F6362A"/>
    <w:rsid w:val="00F645D0"/>
    <w:rsid w:val="00F64EC9"/>
    <w:rsid w:val="00F6581A"/>
    <w:rsid w:val="00F668C1"/>
    <w:rsid w:val="00F67281"/>
    <w:rsid w:val="00F70771"/>
    <w:rsid w:val="00F719B4"/>
    <w:rsid w:val="00F7464D"/>
    <w:rsid w:val="00F76B96"/>
    <w:rsid w:val="00F76EC9"/>
    <w:rsid w:val="00F80CD1"/>
    <w:rsid w:val="00F8348D"/>
    <w:rsid w:val="00F845EA"/>
    <w:rsid w:val="00F849DF"/>
    <w:rsid w:val="00F84F80"/>
    <w:rsid w:val="00F868EB"/>
    <w:rsid w:val="00F869AD"/>
    <w:rsid w:val="00F87679"/>
    <w:rsid w:val="00F878D6"/>
    <w:rsid w:val="00F87B8A"/>
    <w:rsid w:val="00F90889"/>
    <w:rsid w:val="00F95B9C"/>
    <w:rsid w:val="00F95EFA"/>
    <w:rsid w:val="00F96145"/>
    <w:rsid w:val="00FA0376"/>
    <w:rsid w:val="00FA0BB9"/>
    <w:rsid w:val="00FA2D48"/>
    <w:rsid w:val="00FA3E18"/>
    <w:rsid w:val="00FA5519"/>
    <w:rsid w:val="00FA5A8D"/>
    <w:rsid w:val="00FA6262"/>
    <w:rsid w:val="00FB1C89"/>
    <w:rsid w:val="00FB3E22"/>
    <w:rsid w:val="00FB47B0"/>
    <w:rsid w:val="00FB496B"/>
    <w:rsid w:val="00FB4C1E"/>
    <w:rsid w:val="00FB55BB"/>
    <w:rsid w:val="00FB5E17"/>
    <w:rsid w:val="00FB6568"/>
    <w:rsid w:val="00FB678B"/>
    <w:rsid w:val="00FB733D"/>
    <w:rsid w:val="00FC0FB2"/>
    <w:rsid w:val="00FC12A8"/>
    <w:rsid w:val="00FC2C6C"/>
    <w:rsid w:val="00FC3F5F"/>
    <w:rsid w:val="00FC5190"/>
    <w:rsid w:val="00FC5970"/>
    <w:rsid w:val="00FC7088"/>
    <w:rsid w:val="00FC7DE5"/>
    <w:rsid w:val="00FD1A1B"/>
    <w:rsid w:val="00FD26D1"/>
    <w:rsid w:val="00FD2A34"/>
    <w:rsid w:val="00FD30CA"/>
    <w:rsid w:val="00FD4B70"/>
    <w:rsid w:val="00FD558E"/>
    <w:rsid w:val="00FD66CF"/>
    <w:rsid w:val="00FD7ADF"/>
    <w:rsid w:val="00FE1C52"/>
    <w:rsid w:val="00FE2912"/>
    <w:rsid w:val="00FE2BDD"/>
    <w:rsid w:val="00FE338B"/>
    <w:rsid w:val="00FE479C"/>
    <w:rsid w:val="00FF1ECA"/>
    <w:rsid w:val="00FF2363"/>
    <w:rsid w:val="00FF6358"/>
    <w:rsid w:val="00FF6539"/>
    <w:rsid w:val="00FF7DD9"/>
    <w:rsid w:val="293728EF"/>
    <w:rsid w:val="2C48181D"/>
    <w:rsid w:val="4E39379B"/>
    <w:rsid w:val="70781633"/>
    <w:rsid w:val="7FDC5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iPriority="99" w:semiHidden="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link w:val="45"/>
    <w:qFormat/>
    <w:uiPriority w:val="0"/>
    <w:pPr>
      <w:keepNext/>
      <w:keepLines/>
      <w:spacing w:line="360" w:lineRule="auto"/>
      <w:jc w:val="left"/>
      <w:outlineLvl w:val="0"/>
    </w:pPr>
    <w:rPr>
      <w:rFonts w:ascii="Calibri" w:hAnsi="Calibri" w:eastAsia="黑体"/>
      <w:kern w:val="44"/>
      <w:sz w:val="21"/>
      <w:szCs w:val="24"/>
    </w:rPr>
  </w:style>
  <w:style w:type="paragraph" w:styleId="3">
    <w:name w:val="heading 2"/>
    <w:basedOn w:val="1"/>
    <w:next w:val="1"/>
    <w:link w:val="43"/>
    <w:unhideWhenUsed/>
    <w:qFormat/>
    <w:uiPriority w:val="0"/>
    <w:pPr>
      <w:keepNext/>
      <w:keepLines/>
      <w:spacing w:before="260" w:after="260" w:line="416" w:lineRule="auto"/>
      <w:outlineLvl w:val="1"/>
    </w:pPr>
    <w:rPr>
      <w:rFonts w:ascii="Cambria" w:hAnsi="Cambria" w:eastAsia="宋体"/>
      <w:b/>
      <w:bCs/>
    </w:rPr>
  </w:style>
  <w:style w:type="paragraph" w:styleId="4">
    <w:name w:val="heading 3"/>
    <w:basedOn w:val="1"/>
    <w:next w:val="1"/>
    <w:link w:val="42"/>
    <w:unhideWhenUsed/>
    <w:qFormat/>
    <w:uiPriority w:val="0"/>
    <w:pPr>
      <w:keepNext/>
      <w:keepLines/>
      <w:spacing w:before="260" w:after="260" w:line="416" w:lineRule="auto"/>
      <w:outlineLvl w:val="2"/>
    </w:pPr>
    <w:rPr>
      <w:b/>
      <w:bCs/>
    </w:rPr>
  </w:style>
  <w:style w:type="paragraph" w:styleId="5">
    <w:name w:val="heading 4"/>
    <w:basedOn w:val="1"/>
    <w:next w:val="1"/>
    <w:qFormat/>
    <w:uiPriority w:val="0"/>
    <w:pPr>
      <w:keepNext/>
      <w:keepLines/>
      <w:spacing w:line="560" w:lineRule="exact"/>
      <w:outlineLvl w:val="3"/>
    </w:pPr>
    <w:rPr>
      <w:rFonts w:ascii="Arial" w:hAnsi="Arial" w:eastAsia="仿宋"/>
      <w:b/>
      <w:sz w:val="21"/>
      <w:szCs w:val="24"/>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Calibri" w:hAnsi="Calibri" w:eastAsia="宋体"/>
      <w:sz w:val="21"/>
      <w:szCs w:val="22"/>
    </w:rPr>
  </w:style>
  <w:style w:type="paragraph" w:styleId="7">
    <w:name w:val="annotation text"/>
    <w:basedOn w:val="1"/>
    <w:qFormat/>
    <w:uiPriority w:val="0"/>
    <w:pPr>
      <w:jc w:val="left"/>
    </w:pPr>
  </w:style>
  <w:style w:type="paragraph" w:styleId="8">
    <w:name w:val="Body Text 3"/>
    <w:basedOn w:val="1"/>
    <w:link w:val="52"/>
    <w:unhideWhenUsed/>
    <w:qFormat/>
    <w:uiPriority w:val="99"/>
    <w:pPr>
      <w:widowControl/>
      <w:spacing w:after="120" w:line="360" w:lineRule="auto"/>
      <w:jc w:val="left"/>
    </w:pPr>
    <w:rPr>
      <w:rFonts w:ascii="宋体" w:hAnsi="宋体" w:eastAsia="宋体" w:cstheme="minorBidi"/>
      <w:color w:val="000000"/>
      <w:kern w:val="0"/>
      <w:sz w:val="16"/>
      <w:szCs w:val="16"/>
      <w:lang w:eastAsia="en-US"/>
    </w:rPr>
  </w:style>
  <w:style w:type="paragraph" w:styleId="9">
    <w:name w:val="Body Text"/>
    <w:basedOn w:val="1"/>
    <w:qFormat/>
    <w:uiPriority w:val="0"/>
    <w:pPr>
      <w:spacing w:after="120"/>
    </w:pPr>
    <w:rPr>
      <w:rFonts w:ascii="Calibri" w:hAnsi="Calibri" w:eastAsia="宋体"/>
      <w:sz w:val="21"/>
      <w:szCs w:val="24"/>
    </w:rPr>
  </w:style>
  <w:style w:type="paragraph" w:styleId="10">
    <w:name w:val="Body Text Indent"/>
    <w:basedOn w:val="1"/>
    <w:qFormat/>
    <w:uiPriority w:val="0"/>
    <w:pPr>
      <w:spacing w:after="120"/>
      <w:ind w:left="420" w:leftChars="200"/>
    </w:pPr>
  </w:style>
  <w:style w:type="paragraph" w:styleId="11">
    <w:name w:val="toc 5"/>
    <w:basedOn w:val="1"/>
    <w:next w:val="1"/>
    <w:unhideWhenUsed/>
    <w:qFormat/>
    <w:uiPriority w:val="39"/>
    <w:pPr>
      <w:ind w:left="1680" w:leftChars="800"/>
    </w:pPr>
    <w:rPr>
      <w:rFonts w:ascii="Calibri" w:hAnsi="Calibri" w:eastAsia="宋体"/>
      <w:sz w:val="21"/>
      <w:szCs w:val="22"/>
    </w:rPr>
  </w:style>
  <w:style w:type="paragraph" w:styleId="12">
    <w:name w:val="toc 3"/>
    <w:basedOn w:val="1"/>
    <w:next w:val="1"/>
    <w:qFormat/>
    <w:uiPriority w:val="39"/>
    <w:pPr>
      <w:ind w:left="840" w:leftChars="400"/>
    </w:pPr>
    <w:rPr>
      <w:rFonts w:ascii="Calibri" w:hAnsi="Calibri" w:eastAsia="宋体"/>
      <w:sz w:val="21"/>
      <w:szCs w:val="24"/>
    </w:rPr>
  </w:style>
  <w:style w:type="paragraph" w:styleId="13">
    <w:name w:val="toc 8"/>
    <w:basedOn w:val="1"/>
    <w:next w:val="1"/>
    <w:unhideWhenUsed/>
    <w:qFormat/>
    <w:uiPriority w:val="39"/>
    <w:pPr>
      <w:ind w:left="2940" w:leftChars="1400"/>
    </w:pPr>
    <w:rPr>
      <w:rFonts w:ascii="Calibri" w:hAnsi="Calibri" w:eastAsia="宋体"/>
      <w:sz w:val="21"/>
      <w:szCs w:val="22"/>
    </w:rPr>
  </w:style>
  <w:style w:type="paragraph" w:styleId="14">
    <w:name w:val="Balloon Text"/>
    <w:basedOn w:val="1"/>
    <w:link w:val="48"/>
    <w:qFormat/>
    <w:uiPriority w:val="0"/>
    <w:rPr>
      <w:sz w:val="18"/>
      <w:szCs w:val="18"/>
    </w:rPr>
  </w:style>
  <w:style w:type="paragraph" w:styleId="15">
    <w:name w:val="footer"/>
    <w:basedOn w:val="1"/>
    <w:link w:val="47"/>
    <w:qFormat/>
    <w:uiPriority w:val="99"/>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pPr>
    <w:rPr>
      <w:rFonts w:ascii="Calibri" w:hAnsi="Calibri" w:eastAsia="宋体"/>
      <w:sz w:val="21"/>
      <w:szCs w:val="22"/>
    </w:rPr>
  </w:style>
  <w:style w:type="paragraph" w:styleId="19">
    <w:name w:val="footnote text"/>
    <w:basedOn w:val="1"/>
    <w:semiHidden/>
    <w:qFormat/>
    <w:uiPriority w:val="0"/>
    <w:pPr>
      <w:snapToGrid w:val="0"/>
      <w:jc w:val="left"/>
    </w:pPr>
    <w:rPr>
      <w:sz w:val="18"/>
      <w:szCs w:val="18"/>
    </w:rPr>
  </w:style>
  <w:style w:type="paragraph" w:styleId="20">
    <w:name w:val="toc 6"/>
    <w:basedOn w:val="1"/>
    <w:next w:val="1"/>
    <w:unhideWhenUsed/>
    <w:qFormat/>
    <w:uiPriority w:val="39"/>
    <w:pPr>
      <w:ind w:left="2100" w:leftChars="1000"/>
    </w:pPr>
    <w:rPr>
      <w:rFonts w:ascii="Calibri" w:hAnsi="Calibri" w:eastAsia="宋体"/>
      <w:sz w:val="21"/>
      <w:szCs w:val="22"/>
    </w:rPr>
  </w:style>
  <w:style w:type="paragraph" w:styleId="21">
    <w:name w:val="toc 2"/>
    <w:basedOn w:val="1"/>
    <w:next w:val="1"/>
    <w:qFormat/>
    <w:uiPriority w:val="39"/>
    <w:pPr>
      <w:ind w:left="420" w:leftChars="200"/>
    </w:pPr>
    <w:rPr>
      <w:rFonts w:ascii="Calibri" w:hAnsi="Calibri" w:eastAsia="宋体"/>
      <w:sz w:val="21"/>
      <w:szCs w:val="24"/>
    </w:rPr>
  </w:style>
  <w:style w:type="paragraph" w:styleId="22">
    <w:name w:val="toc 9"/>
    <w:basedOn w:val="1"/>
    <w:next w:val="1"/>
    <w:unhideWhenUsed/>
    <w:qFormat/>
    <w:uiPriority w:val="39"/>
    <w:pPr>
      <w:ind w:left="3360" w:leftChars="1600"/>
    </w:pPr>
    <w:rPr>
      <w:rFonts w:ascii="Calibri" w:hAnsi="Calibri" w:eastAsia="宋体"/>
      <w:sz w:val="21"/>
      <w:szCs w:val="22"/>
    </w:rPr>
  </w:style>
  <w:style w:type="paragraph" w:styleId="23">
    <w:name w:val="Normal (Web)"/>
    <w:basedOn w:val="1"/>
    <w:qFormat/>
    <w:uiPriority w:val="99"/>
    <w:pPr>
      <w:spacing w:beforeAutospacing="1" w:afterAutospacing="1"/>
      <w:jc w:val="left"/>
    </w:pPr>
    <w:rPr>
      <w:rFonts w:ascii="Calibri" w:hAnsi="Calibri" w:eastAsia="宋体"/>
      <w:kern w:val="0"/>
      <w:sz w:val="24"/>
      <w:szCs w:val="24"/>
    </w:rPr>
  </w:style>
  <w:style w:type="paragraph" w:styleId="24">
    <w:name w:val="Body Text First Indent 2"/>
    <w:basedOn w:val="10"/>
    <w:link w:val="49"/>
    <w:qFormat/>
    <w:uiPriority w:val="0"/>
    <w:pPr>
      <w:ind w:firstLine="420"/>
    </w:pPr>
    <w:rPr>
      <w:rFonts w:ascii="Calibri" w:hAnsi="Calibri" w:eastAsia="宋体"/>
      <w:kern w:val="0"/>
      <w:sz w:val="20"/>
      <w:szCs w:val="24"/>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2"/>
    <w:rPr>
      <w:rFonts w:cs="Times New Roman"/>
      <w:b/>
    </w:rPr>
  </w:style>
  <w:style w:type="character" w:styleId="29">
    <w:name w:val="page number"/>
    <w:basedOn w:val="27"/>
    <w:qFormat/>
    <w:uiPriority w:val="0"/>
  </w:style>
  <w:style w:type="character" w:styleId="30">
    <w:name w:val="FollowedHyperlink"/>
    <w:qFormat/>
    <w:uiPriority w:val="0"/>
    <w:rPr>
      <w:color w:val="800080"/>
      <w:u w:val="single"/>
    </w:rPr>
  </w:style>
  <w:style w:type="character" w:styleId="31">
    <w:name w:val="Hyperlink"/>
    <w:qFormat/>
    <w:uiPriority w:val="99"/>
    <w:rPr>
      <w:color w:val="0000FF"/>
      <w:u w:val="single"/>
    </w:rPr>
  </w:style>
  <w:style w:type="character" w:styleId="32">
    <w:name w:val="annotation reference"/>
    <w:basedOn w:val="27"/>
    <w:qFormat/>
    <w:uiPriority w:val="0"/>
    <w:rPr>
      <w:sz w:val="21"/>
      <w:szCs w:val="21"/>
    </w:rPr>
  </w:style>
  <w:style w:type="character" w:styleId="33">
    <w:name w:val="footnote reference"/>
    <w:semiHidden/>
    <w:qFormat/>
    <w:uiPriority w:val="0"/>
    <w:rPr>
      <w:rFonts w:ascii="Times New Roman" w:hAnsi="Times New Roman" w:eastAsia="宋体" w:cs="Times New Roman"/>
      <w:sz w:val="21"/>
      <w:vertAlign w:val="superscript"/>
    </w:rPr>
  </w:style>
  <w:style w:type="character" w:customStyle="1" w:styleId="34">
    <w:name w:val="font141"/>
    <w:qFormat/>
    <w:uiPriority w:val="0"/>
    <w:rPr>
      <w:rFonts w:ascii="Times New Roman" w:hAnsi="Times New Roman" w:cs="Times New Roman"/>
      <w:b/>
      <w:color w:val="000000"/>
      <w:sz w:val="24"/>
      <w:szCs w:val="24"/>
      <w:u w:val="none"/>
    </w:rPr>
  </w:style>
  <w:style w:type="character" w:customStyle="1" w:styleId="35">
    <w:name w:val="font121"/>
    <w:qFormat/>
    <w:uiPriority w:val="0"/>
    <w:rPr>
      <w:rFonts w:ascii="宋体" w:hAnsi="宋体" w:eastAsia="宋体" w:cs="宋体"/>
      <w:color w:val="7030A0"/>
      <w:sz w:val="24"/>
      <w:szCs w:val="24"/>
      <w:u w:val="none"/>
    </w:rPr>
  </w:style>
  <w:style w:type="character" w:customStyle="1" w:styleId="36">
    <w:name w:val="font41"/>
    <w:qFormat/>
    <w:uiPriority w:val="0"/>
    <w:rPr>
      <w:rFonts w:ascii="宋体" w:hAnsi="宋体" w:eastAsia="宋体" w:cs="宋体"/>
      <w:color w:val="ED7D31"/>
      <w:sz w:val="24"/>
      <w:szCs w:val="24"/>
      <w:u w:val="none"/>
    </w:rPr>
  </w:style>
  <w:style w:type="character" w:customStyle="1" w:styleId="37">
    <w:name w:val="font101"/>
    <w:qFormat/>
    <w:uiPriority w:val="0"/>
    <w:rPr>
      <w:rFonts w:ascii="宋体" w:hAnsi="宋体" w:eastAsia="宋体" w:cs="宋体"/>
      <w:color w:val="000000"/>
      <w:sz w:val="24"/>
      <w:szCs w:val="24"/>
      <w:u w:val="none"/>
    </w:rPr>
  </w:style>
  <w:style w:type="character" w:customStyle="1" w:styleId="38">
    <w:name w:val="font131"/>
    <w:qFormat/>
    <w:uiPriority w:val="0"/>
    <w:rPr>
      <w:rFonts w:ascii="宋体" w:hAnsi="宋体" w:eastAsia="宋体" w:cs="宋体"/>
      <w:b/>
      <w:color w:val="000000"/>
      <w:sz w:val="24"/>
      <w:szCs w:val="24"/>
      <w:u w:val="none"/>
    </w:rPr>
  </w:style>
  <w:style w:type="character" w:customStyle="1" w:styleId="39">
    <w:name w:val="font112"/>
    <w:qFormat/>
    <w:uiPriority w:val="0"/>
    <w:rPr>
      <w:rFonts w:ascii="Times New Roman" w:hAnsi="Times New Roman" w:cs="Times New Roman"/>
      <w:color w:val="000000"/>
      <w:sz w:val="24"/>
      <w:szCs w:val="24"/>
      <w:u w:val="none"/>
    </w:rPr>
  </w:style>
  <w:style w:type="character" w:customStyle="1" w:styleId="40">
    <w:name w:val="font61"/>
    <w:qFormat/>
    <w:uiPriority w:val="0"/>
    <w:rPr>
      <w:rFonts w:ascii="Times New Roman" w:hAnsi="Times New Roman" w:cs="Times New Roman"/>
      <w:color w:val="7030A0"/>
      <w:sz w:val="24"/>
      <w:szCs w:val="24"/>
      <w:u w:val="none"/>
    </w:rPr>
  </w:style>
  <w:style w:type="paragraph" w:customStyle="1" w:styleId="41">
    <w:name w:val="列出段落1"/>
    <w:basedOn w:val="1"/>
    <w:qFormat/>
    <w:uiPriority w:val="0"/>
    <w:pPr>
      <w:tabs>
        <w:tab w:val="left" w:pos="0"/>
      </w:tabs>
      <w:spacing w:line="360" w:lineRule="auto"/>
      <w:ind w:firstLine="420" w:firstLineChars="200"/>
    </w:pPr>
    <w:rPr>
      <w:sz w:val="21"/>
      <w:szCs w:val="24"/>
    </w:rPr>
  </w:style>
  <w:style w:type="character" w:customStyle="1" w:styleId="42">
    <w:name w:val="标题 3 Char"/>
    <w:link w:val="4"/>
    <w:qFormat/>
    <w:uiPriority w:val="0"/>
    <w:rPr>
      <w:rFonts w:eastAsia="仿宋_GB2312"/>
      <w:b/>
      <w:bCs/>
      <w:kern w:val="2"/>
      <w:sz w:val="32"/>
      <w:szCs w:val="32"/>
    </w:rPr>
  </w:style>
  <w:style w:type="character" w:customStyle="1" w:styleId="43">
    <w:name w:val="标题 2 Char"/>
    <w:link w:val="3"/>
    <w:qFormat/>
    <w:uiPriority w:val="9"/>
    <w:rPr>
      <w:rFonts w:ascii="Cambria" w:hAnsi="Cambria" w:eastAsia="宋体" w:cs="Times New Roman"/>
      <w:b/>
      <w:bCs/>
      <w:kern w:val="2"/>
      <w:sz w:val="32"/>
      <w:szCs w:val="32"/>
    </w:rPr>
  </w:style>
  <w:style w:type="paragraph" w:customStyle="1" w:styleId="44">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5">
    <w:name w:val="标题 1 Char"/>
    <w:link w:val="2"/>
    <w:qFormat/>
    <w:uiPriority w:val="0"/>
    <w:rPr>
      <w:rFonts w:ascii="Calibri" w:hAnsi="Calibri" w:eastAsia="黑体"/>
      <w:kern w:val="44"/>
      <w:sz w:val="21"/>
      <w:szCs w:val="24"/>
    </w:rPr>
  </w:style>
  <w:style w:type="character" w:customStyle="1" w:styleId="46">
    <w:name w:val="标题 3 Char1"/>
    <w:qFormat/>
    <w:uiPriority w:val="0"/>
    <w:rPr>
      <w:rFonts w:ascii="Times New Roman" w:hAnsi="Times New Roman" w:eastAsia="宋体" w:cs="Times New Roman"/>
      <w:b/>
      <w:bCs/>
      <w:sz w:val="32"/>
      <w:szCs w:val="32"/>
    </w:rPr>
  </w:style>
  <w:style w:type="character" w:customStyle="1" w:styleId="47">
    <w:name w:val="页脚 Char"/>
    <w:link w:val="15"/>
    <w:qFormat/>
    <w:uiPriority w:val="99"/>
    <w:rPr>
      <w:rFonts w:eastAsia="仿宋_GB2312"/>
      <w:kern w:val="2"/>
      <w:sz w:val="18"/>
      <w:szCs w:val="18"/>
    </w:rPr>
  </w:style>
  <w:style w:type="character" w:customStyle="1" w:styleId="48">
    <w:name w:val="批注框文本 Char"/>
    <w:basedOn w:val="27"/>
    <w:link w:val="14"/>
    <w:qFormat/>
    <w:uiPriority w:val="0"/>
    <w:rPr>
      <w:rFonts w:eastAsia="仿宋_GB2312"/>
      <w:kern w:val="2"/>
      <w:sz w:val="18"/>
      <w:szCs w:val="18"/>
    </w:rPr>
  </w:style>
  <w:style w:type="character" w:customStyle="1" w:styleId="49">
    <w:name w:val="正文首行缩进 2 Char"/>
    <w:basedOn w:val="27"/>
    <w:link w:val="24"/>
    <w:qFormat/>
    <w:uiPriority w:val="0"/>
    <w:rPr>
      <w:rFonts w:ascii="Calibri" w:hAnsi="Calibri"/>
      <w:szCs w:val="24"/>
    </w:rPr>
  </w:style>
  <w:style w:type="paragraph" w:styleId="50">
    <w:name w:val="List Paragraph"/>
    <w:basedOn w:val="1"/>
    <w:qFormat/>
    <w:uiPriority w:val="34"/>
    <w:pPr>
      <w:ind w:firstLine="420" w:firstLineChars="200"/>
    </w:pPr>
  </w:style>
  <w:style w:type="paragraph" w:customStyle="1" w:styleId="51">
    <w:name w:val="章标题"/>
    <w:next w:val="1"/>
    <w:qFormat/>
    <w:uiPriority w:val="0"/>
    <w:pPr>
      <w:widowControl w:val="0"/>
      <w:spacing w:line="560" w:lineRule="exact"/>
      <w:jc w:val="center"/>
      <w:outlineLvl w:val="0"/>
    </w:pPr>
    <w:rPr>
      <w:rFonts w:ascii="黑体" w:hAnsi="黑体" w:eastAsia="黑体" w:cs="黑体"/>
      <w:bCs/>
      <w:spacing w:val="-6"/>
      <w:kern w:val="44"/>
      <w:sz w:val="32"/>
      <w:szCs w:val="32"/>
      <w:lang w:val="en-US" w:eastAsia="zh-CN" w:bidi="ar-SA"/>
    </w:rPr>
  </w:style>
  <w:style w:type="character" w:customStyle="1" w:styleId="52">
    <w:name w:val="正文文本 3 Char"/>
    <w:basedOn w:val="27"/>
    <w:link w:val="8"/>
    <w:qFormat/>
    <w:uiPriority w:val="99"/>
    <w:rPr>
      <w:rFonts w:ascii="宋体" w:hAnsi="宋体" w:cstheme="minorBidi"/>
      <w:color w:val="000000"/>
      <w:sz w:val="16"/>
      <w:szCs w:val="16"/>
      <w:lang w:eastAsia="en-US"/>
    </w:rPr>
  </w:style>
  <w:style w:type="paragraph" w:customStyle="1" w:styleId="53">
    <w:name w:val="Source Code"/>
    <w:basedOn w:val="1"/>
    <w:qFormat/>
    <w:uiPriority w:val="0"/>
    <w:pPr>
      <w:widowControl/>
      <w:wordWrap w:val="0"/>
      <w:spacing w:after="160" w:line="360" w:lineRule="auto"/>
      <w:jc w:val="left"/>
    </w:pPr>
    <w:rPr>
      <w:rFonts w:ascii="宋体" w:hAnsi="宋体" w:eastAsia="宋体" w:cstheme="minorBidi"/>
      <w:color w:val="000000"/>
      <w:kern w:val="0"/>
      <w:sz w:val="24"/>
      <w:szCs w:val="22"/>
      <w:lang w:eastAsia="en-US"/>
    </w:rPr>
  </w:style>
  <w:style w:type="character" w:customStyle="1" w:styleId="54">
    <w:name w:val="font71"/>
    <w:basedOn w:val="27"/>
    <w:qFormat/>
    <w:uiPriority w:val="0"/>
    <w:rPr>
      <w:rFonts w:hint="eastAsia" w:ascii="宋体" w:hAnsi="宋体" w:eastAsia="宋体" w:cs="宋体"/>
      <w:b/>
      <w:bCs/>
      <w:color w:val="000000"/>
      <w:sz w:val="36"/>
      <w:szCs w:val="36"/>
      <w:u w:val="none"/>
    </w:rPr>
  </w:style>
  <w:style w:type="character" w:customStyle="1" w:styleId="55">
    <w:name w:val="Unresolved Mention"/>
    <w:basedOn w:val="2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4ECFE-1855-4C19-A204-52AE963721E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93</Pages>
  <Words>9358</Words>
  <Characters>53345</Characters>
  <Lines>444</Lines>
  <Paragraphs>125</Paragraphs>
  <TotalTime>24</TotalTime>
  <ScaleCrop>false</ScaleCrop>
  <LinksUpToDate>false</LinksUpToDate>
  <CharactersWithSpaces>62578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2026-08-18T15:00:00Z</dcterms:created>
  <dc:creator>微软用户</dc:creator>
  <cp:lastModifiedBy>Administrator</cp:lastModifiedBy>
  <cp:lastPrinted>2026-08-17T10:03:00Z</cp:lastPrinted>
  <dcterms:modified xsi:type="dcterms:W3CDTF">2026-08-25T03:17:39Z</dcterms:modified>
  <dc:title>皮山县十五五规划</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E850DA9A505344AFBB117C1FBFAD82B2_12</vt:lpwstr>
  </property>
</Properties>
</file>