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31787">
      <w:pPr>
        <w:rPr>
          <w:rFonts w:hint="eastAsia"/>
        </w:rPr>
      </w:pPr>
    </w:p>
    <w:p w14:paraId="15CFF851">
      <w:pPr>
        <w:rPr>
          <w:rFonts w:hint="eastAsia"/>
        </w:rPr>
      </w:pPr>
    </w:p>
    <w:p w14:paraId="32EDD8EE">
      <w:pPr>
        <w:keepLines w:val="0"/>
        <w:pageBreakBefore w:val="0"/>
        <w:widowControl w:val="0"/>
        <w:kinsoku w:val="0"/>
        <w:wordWrap/>
        <w:overflowPunct w:val="0"/>
        <w:topLinePunct w:val="0"/>
        <w:autoSpaceDE/>
        <w:autoSpaceDN/>
        <w:bidi w:val="0"/>
        <w:adjustRightInd/>
        <w:snapToGrid/>
        <w:spacing w:line="540" w:lineRule="exact"/>
        <w:ind w:left="0" w:leftChars="0"/>
        <w:jc w:val="center"/>
        <w:textAlignment w:val="auto"/>
        <w:rPr>
          <w:rFonts w:hint="eastAsia" w:ascii="方正小标宋简体" w:hAnsi="方正小标宋简体" w:eastAsia="方正小标宋简体" w:cs="方正小标宋简体"/>
          <w:bCs w:val="0"/>
          <w:kern w:val="2"/>
          <w:sz w:val="44"/>
          <w:szCs w:val="44"/>
          <w:lang w:val="en-US" w:eastAsia="zh-CN" w:bidi="ar-SA"/>
        </w:rPr>
      </w:pPr>
      <w:r>
        <w:rPr>
          <w:rFonts w:hint="eastAsia" w:ascii="方正小标宋简体" w:hAnsi="方正小标宋简体" w:eastAsia="方正小标宋简体" w:cs="方正小标宋简体"/>
          <w:bCs w:val="0"/>
          <w:kern w:val="2"/>
          <w:sz w:val="44"/>
          <w:szCs w:val="44"/>
          <w:lang w:val="en-US" w:eastAsia="zh-CN" w:bidi="ar-SA"/>
        </w:rPr>
        <w:t>皮山县“十五五”科技创新五年发展方案</w:t>
      </w:r>
    </w:p>
    <w:p w14:paraId="3EA4BC6A">
      <w:pPr>
        <w:keepLines w:val="0"/>
        <w:pageBreakBefore w:val="0"/>
        <w:widowControl w:val="0"/>
        <w:kinsoku w:val="0"/>
        <w:wordWrap/>
        <w:overflowPunct w:val="0"/>
        <w:topLinePunct w:val="0"/>
        <w:autoSpaceDE/>
        <w:autoSpaceDN/>
        <w:bidi w:val="0"/>
        <w:adjustRightInd/>
        <w:snapToGrid/>
        <w:spacing w:line="540" w:lineRule="exact"/>
        <w:ind w:left="0" w:leftChars="0"/>
        <w:jc w:val="center"/>
        <w:textAlignment w:val="auto"/>
        <w:rPr>
          <w:rFonts w:hint="default" w:ascii="方正小标宋简体" w:hAnsi="方正小标宋简体" w:eastAsia="方正小标宋简体" w:cs="方正小标宋简体"/>
          <w:bCs w:val="0"/>
          <w:kern w:val="2"/>
          <w:sz w:val="44"/>
          <w:szCs w:val="44"/>
          <w:lang w:val="en-US" w:eastAsia="zh-CN" w:bidi="ar-SA"/>
        </w:rPr>
      </w:pPr>
      <w:r>
        <w:rPr>
          <w:rFonts w:hint="eastAsia" w:ascii="方正小标宋简体" w:hAnsi="方正小标宋简体" w:eastAsia="方正小标宋简体" w:cs="方正小标宋简体"/>
          <w:bCs w:val="0"/>
          <w:kern w:val="2"/>
          <w:sz w:val="44"/>
          <w:szCs w:val="44"/>
          <w:lang w:val="en-US" w:eastAsia="zh-CN" w:bidi="ar-SA"/>
        </w:rPr>
        <w:t>（2026-2030年）（征求意见稿）</w:t>
      </w:r>
    </w:p>
    <w:p w14:paraId="5D2307FA">
      <w:pPr>
        <w:keepLines w:val="0"/>
        <w:pageBreakBefore w:val="0"/>
        <w:widowControl w:val="0"/>
        <w:kinsoku w:val="0"/>
        <w:wordWrap/>
        <w:overflowPunct w:val="0"/>
        <w:topLinePunct w:val="0"/>
        <w:autoSpaceDE/>
        <w:autoSpaceDN/>
        <w:bidi w:val="0"/>
        <w:adjustRightInd/>
        <w:snapToGrid/>
        <w:spacing w:line="540" w:lineRule="exact"/>
        <w:ind w:left="0" w:leftChars="0"/>
        <w:jc w:val="center"/>
        <w:textAlignment w:val="auto"/>
        <w:rPr>
          <w:rFonts w:hint="eastAsia" w:ascii="方正小标宋简体" w:hAnsi="方正小标宋简体" w:eastAsia="方正小标宋简体" w:cs="方正小标宋简体"/>
          <w:bCs w:val="0"/>
          <w:kern w:val="2"/>
          <w:sz w:val="44"/>
          <w:szCs w:val="44"/>
          <w:lang w:val="en-US" w:eastAsia="zh-CN" w:bidi="ar-SA"/>
        </w:rPr>
      </w:pPr>
    </w:p>
    <w:p w14:paraId="4AE265C0">
      <w:pPr>
        <w:rPr>
          <w:rFonts w:hint="eastAsia"/>
        </w:rPr>
      </w:pPr>
    </w:p>
    <w:p w14:paraId="43C9B2E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181AFDE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0DB297D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1A8E815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05AD8FC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61F3CF7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01BB75A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6133D28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55578EC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13F8F24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50BBD6C0">
      <w:pPr>
        <w:pStyle w:val="2"/>
        <w:rPr>
          <w:rFonts w:hint="eastAsia" w:ascii="黑体" w:hAnsi="黑体" w:eastAsia="黑体" w:cs="黑体"/>
          <w:sz w:val="32"/>
          <w:szCs w:val="32"/>
          <w:lang w:eastAsia="zh-CN"/>
        </w:rPr>
      </w:pPr>
    </w:p>
    <w:p w14:paraId="57A9CB3D">
      <w:pPr>
        <w:rPr>
          <w:rFonts w:hint="eastAsia"/>
          <w:lang w:eastAsia="zh-CN"/>
        </w:rPr>
      </w:pPr>
    </w:p>
    <w:p w14:paraId="07726B7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6D65824C">
      <w:pPr>
        <w:keepLines w:val="0"/>
        <w:pageBreakBefore w:val="0"/>
        <w:widowControl w:val="0"/>
        <w:kinsoku w:val="0"/>
        <w:wordWrap/>
        <w:overflowPunct w:val="0"/>
        <w:topLinePunct w:val="0"/>
        <w:autoSpaceDE/>
        <w:autoSpaceDN/>
        <w:bidi w:val="0"/>
        <w:adjustRightInd/>
        <w:snapToGrid/>
        <w:spacing w:line="540" w:lineRule="exact"/>
        <w:ind w:left="0" w:leftChars="0"/>
        <w:jc w:val="center"/>
        <w:textAlignment w:val="auto"/>
        <w:rPr>
          <w:rFonts w:hint="eastAsia"/>
          <w:lang w:val="en-US" w:eastAsia="zh-CN"/>
        </w:rPr>
      </w:pPr>
      <w:r>
        <w:rPr>
          <w:rFonts w:hint="eastAsia" w:ascii="方正小标宋简体" w:hAnsi="方正小标宋简体" w:eastAsia="方正小标宋简体" w:cs="方正小标宋简体"/>
          <w:bCs w:val="0"/>
          <w:kern w:val="2"/>
          <w:sz w:val="44"/>
          <w:szCs w:val="44"/>
          <w:lang w:val="en-US" w:eastAsia="zh-CN" w:bidi="ar-SA"/>
        </w:rPr>
        <w:t>皮山县科学技术局</w:t>
      </w:r>
    </w:p>
    <w:p w14:paraId="07CC97A1">
      <w:pPr>
        <w:keepLines w:val="0"/>
        <w:pageBreakBefore w:val="0"/>
        <w:widowControl w:val="0"/>
        <w:kinsoku w:val="0"/>
        <w:wordWrap/>
        <w:overflowPunct w:val="0"/>
        <w:topLinePunct w:val="0"/>
        <w:autoSpaceDE/>
        <w:autoSpaceDN/>
        <w:bidi w:val="0"/>
        <w:adjustRightInd/>
        <w:snapToGrid/>
        <w:spacing w:line="540" w:lineRule="exact"/>
        <w:ind w:left="0" w:leftChars="0"/>
        <w:jc w:val="center"/>
        <w:textAlignment w:val="auto"/>
        <w:rPr>
          <w:rFonts w:hint="default" w:ascii="方正小标宋简体" w:hAnsi="方正小标宋简体" w:eastAsia="方正小标宋简体" w:cs="方正小标宋简体"/>
          <w:bCs w:val="0"/>
          <w:kern w:val="2"/>
          <w:sz w:val="44"/>
          <w:szCs w:val="44"/>
          <w:lang w:val="en-US" w:eastAsia="zh-CN" w:bidi="ar-SA"/>
        </w:rPr>
      </w:pPr>
      <w:r>
        <w:rPr>
          <w:rFonts w:hint="eastAsia" w:ascii="方正小标宋简体" w:hAnsi="方正小标宋简体" w:eastAsia="方正小标宋简体" w:cs="方正小标宋简体"/>
          <w:bCs w:val="0"/>
          <w:kern w:val="2"/>
          <w:sz w:val="44"/>
          <w:szCs w:val="44"/>
          <w:lang w:val="en-US" w:eastAsia="zh-CN" w:bidi="ar-SA"/>
        </w:rPr>
        <w:t>2026年</w:t>
      </w:r>
    </w:p>
    <w:p w14:paraId="45015FB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17C8682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p w14:paraId="75B00AA3">
      <w:pPr>
        <w:pStyle w:val="2"/>
        <w:rPr>
          <w:rFonts w:hint="eastAsia" w:ascii="黑体" w:hAnsi="黑体" w:eastAsia="黑体" w:cs="黑体"/>
          <w:sz w:val="32"/>
          <w:szCs w:val="32"/>
          <w:lang w:eastAsia="zh-CN"/>
        </w:rPr>
      </w:pPr>
    </w:p>
    <w:p w14:paraId="3C32B0CD">
      <w:pPr>
        <w:rPr>
          <w:rFonts w:hint="eastAsia" w:ascii="黑体" w:hAnsi="黑体" w:eastAsia="黑体" w:cs="黑体"/>
          <w:sz w:val="32"/>
          <w:szCs w:val="32"/>
          <w:lang w:eastAsia="zh-CN"/>
        </w:rPr>
      </w:pPr>
    </w:p>
    <w:p w14:paraId="212D2B6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eastAsia="zh-CN"/>
        </w:rPr>
      </w:pPr>
    </w:p>
    <w:sdt>
      <w:sdtPr>
        <w:rPr>
          <w:rFonts w:hint="eastAsia" w:ascii="黑体" w:hAnsi="黑体" w:eastAsia="黑体" w:cs="黑体"/>
          <w:kern w:val="2"/>
          <w:sz w:val="28"/>
          <w:szCs w:val="28"/>
          <w:lang w:val="en-US" w:eastAsia="zh-CN" w:bidi="ar-SA"/>
        </w:rPr>
        <w:id w:val="147465849"/>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14:paraId="397C7A69">
          <w:pPr>
            <w:spacing w:before="0" w:beforeLines="0" w:after="0" w:afterLines="0" w:line="240" w:lineRule="auto"/>
            <w:ind w:left="0" w:leftChars="0" w:right="0" w:rightChars="0" w:firstLine="0" w:firstLineChars="0"/>
            <w:jc w:val="center"/>
            <w:rPr>
              <w:rFonts w:hint="eastAsia" w:ascii="黑体" w:hAnsi="黑体" w:eastAsia="黑体" w:cs="黑体"/>
              <w:sz w:val="28"/>
              <w:szCs w:val="28"/>
            </w:rPr>
          </w:pPr>
          <w:r>
            <w:rPr>
              <w:rFonts w:hint="eastAsia" w:ascii="黑体" w:hAnsi="黑体" w:eastAsia="黑体" w:cs="黑体"/>
              <w:sz w:val="28"/>
              <w:szCs w:val="28"/>
            </w:rPr>
            <w:t>目录</w:t>
          </w:r>
        </w:p>
        <w:p w14:paraId="76E45F02">
          <w:pPr>
            <w:pStyle w:val="10"/>
            <w:tabs>
              <w:tab w:val="right" w:leader="dot" w:pos="8306"/>
            </w:tabs>
          </w:pPr>
          <w:r>
            <w:fldChar w:fldCharType="begin"/>
          </w:r>
          <w:r>
            <w:instrText xml:space="preserve">TOC \o "1-3" \h \u </w:instrText>
          </w:r>
          <w:r>
            <w:fldChar w:fldCharType="separate"/>
          </w:r>
          <w:r>
            <w:fldChar w:fldCharType="begin"/>
          </w:r>
          <w:r>
            <w:instrText xml:space="preserve"> HYPERLINK \l _Toc23568 </w:instrText>
          </w:r>
          <w:r>
            <w:fldChar w:fldCharType="separate"/>
          </w:r>
          <w:r>
            <w:rPr>
              <w:rFonts w:hint="eastAsia"/>
              <w:lang w:eastAsia="zh-CN"/>
            </w:rPr>
            <w:t>前言</w:t>
          </w:r>
          <w:r>
            <w:tab/>
          </w:r>
          <w:r>
            <w:fldChar w:fldCharType="begin"/>
          </w:r>
          <w:r>
            <w:instrText xml:space="preserve"> PAGEREF _Toc23568 \h </w:instrText>
          </w:r>
          <w:r>
            <w:fldChar w:fldCharType="separate"/>
          </w:r>
          <w:r>
            <w:t>- 1 -</w:t>
          </w:r>
          <w:r>
            <w:fldChar w:fldCharType="end"/>
          </w:r>
          <w:r>
            <w:fldChar w:fldCharType="end"/>
          </w:r>
        </w:p>
        <w:p w14:paraId="5931DDDC">
          <w:pPr>
            <w:pStyle w:val="10"/>
            <w:tabs>
              <w:tab w:val="right" w:leader="dot" w:pos="8306"/>
            </w:tabs>
          </w:pPr>
          <w:r>
            <w:fldChar w:fldCharType="begin"/>
          </w:r>
          <w:r>
            <w:instrText xml:space="preserve"> HYPERLINK \l _Toc7310 </w:instrText>
          </w:r>
          <w:r>
            <w:fldChar w:fldCharType="separate"/>
          </w:r>
          <w:r>
            <w:rPr>
              <w:rFonts w:hint="eastAsia"/>
              <w:lang w:eastAsia="zh-CN"/>
            </w:rPr>
            <w:t>一、发展基础、面临形势与挑战</w:t>
          </w:r>
          <w:r>
            <w:tab/>
          </w:r>
          <w:r>
            <w:fldChar w:fldCharType="begin"/>
          </w:r>
          <w:r>
            <w:instrText xml:space="preserve"> PAGEREF _Toc7310 \h </w:instrText>
          </w:r>
          <w:r>
            <w:fldChar w:fldCharType="separate"/>
          </w:r>
          <w:r>
            <w:t>- 2 -</w:t>
          </w:r>
          <w:r>
            <w:fldChar w:fldCharType="end"/>
          </w:r>
          <w:r>
            <w:fldChar w:fldCharType="end"/>
          </w:r>
        </w:p>
        <w:p w14:paraId="76DFAA5B">
          <w:pPr>
            <w:pStyle w:val="12"/>
            <w:tabs>
              <w:tab w:val="right" w:leader="dot" w:pos="8306"/>
            </w:tabs>
          </w:pPr>
          <w:r>
            <w:fldChar w:fldCharType="begin"/>
          </w:r>
          <w:r>
            <w:instrText xml:space="preserve"> HYPERLINK \l _Toc13300 </w:instrText>
          </w:r>
          <w:r>
            <w:fldChar w:fldCharType="separate"/>
          </w:r>
          <w:r>
            <w:rPr>
              <w:rFonts w:hint="eastAsia"/>
              <w:lang w:val="en-US" w:eastAsia="zh-CN"/>
            </w:rPr>
            <w:t>（一）“十四五”时期主要成就与经验总结</w:t>
          </w:r>
          <w:r>
            <w:tab/>
          </w:r>
          <w:r>
            <w:fldChar w:fldCharType="begin"/>
          </w:r>
          <w:r>
            <w:instrText xml:space="preserve"> PAGEREF _Toc13300 \h </w:instrText>
          </w:r>
          <w:r>
            <w:fldChar w:fldCharType="separate"/>
          </w:r>
          <w:r>
            <w:t>- 2 -</w:t>
          </w:r>
          <w:r>
            <w:fldChar w:fldCharType="end"/>
          </w:r>
          <w:r>
            <w:fldChar w:fldCharType="end"/>
          </w:r>
        </w:p>
        <w:p w14:paraId="4B107FC0">
          <w:pPr>
            <w:pStyle w:val="12"/>
            <w:tabs>
              <w:tab w:val="right" w:leader="dot" w:pos="8306"/>
            </w:tabs>
          </w:pPr>
          <w:r>
            <w:fldChar w:fldCharType="begin"/>
          </w:r>
          <w:r>
            <w:instrText xml:space="preserve"> HYPERLINK \l _Toc6672 </w:instrText>
          </w:r>
          <w:r>
            <w:fldChar w:fldCharType="separate"/>
          </w:r>
          <w:r>
            <w:rPr>
              <w:rFonts w:hint="eastAsia"/>
              <w:lang w:val="en-US" w:eastAsia="zh-CN"/>
            </w:rPr>
            <w:t>（二）存在的问题与短板</w:t>
          </w:r>
          <w:r>
            <w:tab/>
          </w:r>
          <w:r>
            <w:fldChar w:fldCharType="begin"/>
          </w:r>
          <w:r>
            <w:instrText xml:space="preserve"> PAGEREF _Toc6672 \h </w:instrText>
          </w:r>
          <w:r>
            <w:fldChar w:fldCharType="separate"/>
          </w:r>
          <w:r>
            <w:t>- 5 -</w:t>
          </w:r>
          <w:r>
            <w:fldChar w:fldCharType="end"/>
          </w:r>
          <w:r>
            <w:fldChar w:fldCharType="end"/>
          </w:r>
        </w:p>
        <w:p w14:paraId="70637551">
          <w:pPr>
            <w:pStyle w:val="12"/>
            <w:tabs>
              <w:tab w:val="right" w:leader="dot" w:pos="8306"/>
            </w:tabs>
          </w:pPr>
          <w:r>
            <w:fldChar w:fldCharType="begin"/>
          </w:r>
          <w:r>
            <w:instrText xml:space="preserve"> HYPERLINK \l _Toc32261 </w:instrText>
          </w:r>
          <w:r>
            <w:fldChar w:fldCharType="separate"/>
          </w:r>
          <w:r>
            <w:rPr>
              <w:rFonts w:hint="eastAsia"/>
              <w:lang w:val="en-US" w:eastAsia="zh-CN"/>
            </w:rPr>
            <w:t>（三）“十五五”时期面临的新形势与新要求</w:t>
          </w:r>
          <w:r>
            <w:tab/>
          </w:r>
          <w:r>
            <w:fldChar w:fldCharType="begin"/>
          </w:r>
          <w:r>
            <w:instrText xml:space="preserve"> PAGEREF _Toc32261 \h </w:instrText>
          </w:r>
          <w:r>
            <w:fldChar w:fldCharType="separate"/>
          </w:r>
          <w:r>
            <w:t>- 6 -</w:t>
          </w:r>
          <w:r>
            <w:fldChar w:fldCharType="end"/>
          </w:r>
          <w:r>
            <w:fldChar w:fldCharType="end"/>
          </w:r>
        </w:p>
        <w:p w14:paraId="4DD36438">
          <w:pPr>
            <w:pStyle w:val="10"/>
            <w:tabs>
              <w:tab w:val="right" w:leader="dot" w:pos="8306"/>
            </w:tabs>
          </w:pPr>
          <w:r>
            <w:fldChar w:fldCharType="begin"/>
          </w:r>
          <w:r>
            <w:instrText xml:space="preserve"> HYPERLINK \l _Toc32187 </w:instrText>
          </w:r>
          <w:r>
            <w:fldChar w:fldCharType="separate"/>
          </w:r>
          <w:r>
            <w:rPr>
              <w:rFonts w:hint="eastAsia"/>
              <w:lang w:val="en-US" w:eastAsia="zh-CN"/>
            </w:rPr>
            <w:t>二、指导思想、基本原则与发展目标</w:t>
          </w:r>
          <w:r>
            <w:tab/>
          </w:r>
          <w:r>
            <w:fldChar w:fldCharType="begin"/>
          </w:r>
          <w:r>
            <w:instrText xml:space="preserve"> PAGEREF _Toc32187 \h </w:instrText>
          </w:r>
          <w:r>
            <w:fldChar w:fldCharType="separate"/>
          </w:r>
          <w:r>
            <w:t>- 7 -</w:t>
          </w:r>
          <w:r>
            <w:fldChar w:fldCharType="end"/>
          </w:r>
          <w:r>
            <w:fldChar w:fldCharType="end"/>
          </w:r>
        </w:p>
        <w:p w14:paraId="78548D6D">
          <w:pPr>
            <w:pStyle w:val="12"/>
            <w:tabs>
              <w:tab w:val="right" w:leader="dot" w:pos="8306"/>
            </w:tabs>
          </w:pPr>
          <w:r>
            <w:fldChar w:fldCharType="begin"/>
          </w:r>
          <w:r>
            <w:instrText xml:space="preserve"> HYPERLINK \l _Toc28809 </w:instrText>
          </w:r>
          <w:r>
            <w:fldChar w:fldCharType="separate"/>
          </w:r>
          <w:r>
            <w:rPr>
              <w:rFonts w:hint="eastAsia"/>
              <w:lang w:val="en-US" w:eastAsia="zh-CN"/>
            </w:rPr>
            <w:t>（一）指导思想</w:t>
          </w:r>
          <w:r>
            <w:tab/>
          </w:r>
          <w:r>
            <w:fldChar w:fldCharType="begin"/>
          </w:r>
          <w:r>
            <w:instrText xml:space="preserve"> PAGEREF _Toc28809 \h </w:instrText>
          </w:r>
          <w:r>
            <w:fldChar w:fldCharType="separate"/>
          </w:r>
          <w:r>
            <w:t>- 7 -</w:t>
          </w:r>
          <w:r>
            <w:fldChar w:fldCharType="end"/>
          </w:r>
          <w:r>
            <w:fldChar w:fldCharType="end"/>
          </w:r>
        </w:p>
        <w:p w14:paraId="2BE2122E">
          <w:pPr>
            <w:pStyle w:val="12"/>
            <w:tabs>
              <w:tab w:val="right" w:leader="dot" w:pos="8306"/>
            </w:tabs>
          </w:pPr>
          <w:r>
            <w:fldChar w:fldCharType="begin"/>
          </w:r>
          <w:r>
            <w:instrText xml:space="preserve"> HYPERLINK \l _Toc9279 </w:instrText>
          </w:r>
          <w:r>
            <w:fldChar w:fldCharType="separate"/>
          </w:r>
          <w:r>
            <w:rPr>
              <w:rFonts w:hint="eastAsia"/>
              <w:lang w:val="en-US" w:eastAsia="zh-CN"/>
            </w:rPr>
            <w:t>（二）基本原则</w:t>
          </w:r>
          <w:r>
            <w:tab/>
          </w:r>
          <w:r>
            <w:fldChar w:fldCharType="begin"/>
          </w:r>
          <w:r>
            <w:instrText xml:space="preserve"> PAGEREF _Toc9279 \h </w:instrText>
          </w:r>
          <w:r>
            <w:fldChar w:fldCharType="separate"/>
          </w:r>
          <w:r>
            <w:t>- 8 -</w:t>
          </w:r>
          <w:r>
            <w:fldChar w:fldCharType="end"/>
          </w:r>
          <w:r>
            <w:fldChar w:fldCharType="end"/>
          </w:r>
        </w:p>
        <w:p w14:paraId="6108BCC5">
          <w:pPr>
            <w:pStyle w:val="12"/>
            <w:tabs>
              <w:tab w:val="right" w:leader="dot" w:pos="8306"/>
            </w:tabs>
          </w:pPr>
          <w:r>
            <w:fldChar w:fldCharType="begin"/>
          </w:r>
          <w:r>
            <w:instrText xml:space="preserve"> HYPERLINK \l _Toc32490 </w:instrText>
          </w:r>
          <w:r>
            <w:fldChar w:fldCharType="separate"/>
          </w:r>
          <w:r>
            <w:rPr>
              <w:rFonts w:hint="eastAsia"/>
              <w:lang w:val="en-US" w:eastAsia="zh-CN"/>
            </w:rPr>
            <w:t>（三）发展目标</w:t>
          </w:r>
          <w:r>
            <w:tab/>
          </w:r>
          <w:r>
            <w:fldChar w:fldCharType="begin"/>
          </w:r>
          <w:r>
            <w:instrText xml:space="preserve"> PAGEREF _Toc32490 \h </w:instrText>
          </w:r>
          <w:r>
            <w:fldChar w:fldCharType="separate"/>
          </w:r>
          <w:r>
            <w:t>- 9 -</w:t>
          </w:r>
          <w:r>
            <w:fldChar w:fldCharType="end"/>
          </w:r>
          <w:r>
            <w:fldChar w:fldCharType="end"/>
          </w:r>
        </w:p>
        <w:p w14:paraId="79A33728">
          <w:pPr>
            <w:pStyle w:val="7"/>
            <w:tabs>
              <w:tab w:val="right" w:leader="dot" w:pos="8306"/>
            </w:tabs>
          </w:pPr>
          <w:r>
            <w:fldChar w:fldCharType="begin"/>
          </w:r>
          <w:r>
            <w:instrText xml:space="preserve"> HYPERLINK \l _Toc32498 </w:instrText>
          </w:r>
          <w:r>
            <w:fldChar w:fldCharType="separate"/>
          </w:r>
          <w:r>
            <w:rPr>
              <w:rFonts w:hint="eastAsia"/>
              <w:lang w:eastAsia="zh-CN"/>
            </w:rPr>
            <w:t>1.总体目标</w:t>
          </w:r>
          <w:r>
            <w:tab/>
          </w:r>
          <w:r>
            <w:fldChar w:fldCharType="begin"/>
          </w:r>
          <w:r>
            <w:instrText xml:space="preserve"> PAGEREF _Toc32498 \h </w:instrText>
          </w:r>
          <w:r>
            <w:fldChar w:fldCharType="separate"/>
          </w:r>
          <w:r>
            <w:t>- 9 -</w:t>
          </w:r>
          <w:r>
            <w:fldChar w:fldCharType="end"/>
          </w:r>
          <w:r>
            <w:fldChar w:fldCharType="end"/>
          </w:r>
        </w:p>
        <w:p w14:paraId="2AC218D0">
          <w:pPr>
            <w:pStyle w:val="7"/>
            <w:tabs>
              <w:tab w:val="right" w:leader="dot" w:pos="8306"/>
            </w:tabs>
          </w:pPr>
          <w:r>
            <w:fldChar w:fldCharType="begin"/>
          </w:r>
          <w:r>
            <w:instrText xml:space="preserve"> HYPERLINK \l _Toc14962 </w:instrText>
          </w:r>
          <w:r>
            <w:fldChar w:fldCharType="separate"/>
          </w:r>
          <w:r>
            <w:rPr>
              <w:rFonts w:hint="eastAsia"/>
              <w:lang w:eastAsia="zh-CN"/>
            </w:rPr>
            <w:t>2.具体目标</w:t>
          </w:r>
          <w:r>
            <w:tab/>
          </w:r>
          <w:r>
            <w:fldChar w:fldCharType="begin"/>
          </w:r>
          <w:r>
            <w:instrText xml:space="preserve"> PAGEREF _Toc14962 \h </w:instrText>
          </w:r>
          <w:r>
            <w:fldChar w:fldCharType="separate"/>
          </w:r>
          <w:r>
            <w:t>- 9 -</w:t>
          </w:r>
          <w:r>
            <w:fldChar w:fldCharType="end"/>
          </w:r>
          <w:r>
            <w:fldChar w:fldCharType="end"/>
          </w:r>
        </w:p>
        <w:p w14:paraId="170A9145">
          <w:pPr>
            <w:pStyle w:val="10"/>
            <w:tabs>
              <w:tab w:val="right" w:leader="dot" w:pos="8306"/>
            </w:tabs>
          </w:pPr>
          <w:r>
            <w:fldChar w:fldCharType="begin"/>
          </w:r>
          <w:r>
            <w:instrText xml:space="preserve"> HYPERLINK \l _Toc21011 </w:instrText>
          </w:r>
          <w:r>
            <w:fldChar w:fldCharType="separate"/>
          </w:r>
          <w:r>
            <w:rPr>
              <w:rFonts w:hint="eastAsia"/>
              <w:lang w:val="en-US" w:eastAsia="zh-CN"/>
            </w:rPr>
            <w:t>三、重点领域与主要任务</w:t>
          </w:r>
          <w:r>
            <w:tab/>
          </w:r>
          <w:r>
            <w:fldChar w:fldCharType="begin"/>
          </w:r>
          <w:r>
            <w:instrText xml:space="preserve"> PAGEREF _Toc21011 \h </w:instrText>
          </w:r>
          <w:r>
            <w:fldChar w:fldCharType="separate"/>
          </w:r>
          <w:r>
            <w:t>- 11 -</w:t>
          </w:r>
          <w:r>
            <w:fldChar w:fldCharType="end"/>
          </w:r>
          <w:r>
            <w:fldChar w:fldCharType="end"/>
          </w:r>
        </w:p>
        <w:p w14:paraId="2FFDDEE5">
          <w:pPr>
            <w:pStyle w:val="12"/>
            <w:tabs>
              <w:tab w:val="right" w:leader="dot" w:pos="8306"/>
            </w:tabs>
          </w:pPr>
          <w:r>
            <w:fldChar w:fldCharType="begin"/>
          </w:r>
          <w:r>
            <w:instrText xml:space="preserve"> HYPERLINK \l _Toc30208 </w:instrText>
          </w:r>
          <w:r>
            <w:fldChar w:fldCharType="separate"/>
          </w:r>
          <w:r>
            <w:rPr>
              <w:rFonts w:hint="eastAsia"/>
              <w:lang w:val="en-US" w:eastAsia="zh-CN"/>
            </w:rPr>
            <w:t>（一）以政策激励为基石，构建高水平创新体系</w:t>
          </w:r>
          <w:r>
            <w:tab/>
          </w:r>
          <w:r>
            <w:fldChar w:fldCharType="begin"/>
          </w:r>
          <w:r>
            <w:instrText xml:space="preserve"> PAGEREF _Toc30208 \h </w:instrText>
          </w:r>
          <w:r>
            <w:fldChar w:fldCharType="separate"/>
          </w:r>
          <w:r>
            <w:t>- 11 -</w:t>
          </w:r>
          <w:r>
            <w:fldChar w:fldCharType="end"/>
          </w:r>
          <w:r>
            <w:fldChar w:fldCharType="end"/>
          </w:r>
        </w:p>
        <w:p w14:paraId="7A7C5869">
          <w:pPr>
            <w:pStyle w:val="12"/>
            <w:tabs>
              <w:tab w:val="right" w:leader="dot" w:pos="8306"/>
            </w:tabs>
          </w:pPr>
          <w:r>
            <w:fldChar w:fldCharType="begin"/>
          </w:r>
          <w:r>
            <w:instrText xml:space="preserve"> HYPERLINK \l _Toc11837 </w:instrText>
          </w:r>
          <w:r>
            <w:fldChar w:fldCharType="separate"/>
          </w:r>
          <w:r>
            <w:rPr>
              <w:rFonts w:hint="eastAsia"/>
              <w:lang w:val="en-US" w:eastAsia="zh-CN"/>
            </w:rPr>
            <w:t>（二）以科创平台建设为抓手，推动原始创新能力“清零”</w:t>
          </w:r>
          <w:r>
            <w:tab/>
          </w:r>
          <w:r>
            <w:fldChar w:fldCharType="begin"/>
          </w:r>
          <w:r>
            <w:instrText xml:space="preserve"> PAGEREF _Toc11837 \h </w:instrText>
          </w:r>
          <w:r>
            <w:fldChar w:fldCharType="separate"/>
          </w:r>
          <w:r>
            <w:t>- 12 -</w:t>
          </w:r>
          <w:r>
            <w:fldChar w:fldCharType="end"/>
          </w:r>
          <w:r>
            <w:fldChar w:fldCharType="end"/>
          </w:r>
        </w:p>
        <w:p w14:paraId="6EC1EE41">
          <w:pPr>
            <w:pStyle w:val="12"/>
            <w:tabs>
              <w:tab w:val="right" w:leader="dot" w:pos="8306"/>
            </w:tabs>
          </w:pPr>
          <w:r>
            <w:fldChar w:fldCharType="begin"/>
          </w:r>
          <w:r>
            <w:instrText xml:space="preserve"> HYPERLINK \l _Toc11305 </w:instrText>
          </w:r>
          <w:r>
            <w:fldChar w:fldCharType="separate"/>
          </w:r>
          <w:r>
            <w:rPr>
              <w:rFonts w:hint="eastAsia"/>
              <w:lang w:val="en-US" w:eastAsia="zh-CN"/>
            </w:rPr>
            <w:t>（三）聚焦现代产业科技服务体系建设，部署关键核心技术攻关</w:t>
          </w:r>
          <w:r>
            <w:tab/>
          </w:r>
          <w:r>
            <w:fldChar w:fldCharType="begin"/>
          </w:r>
          <w:r>
            <w:instrText xml:space="preserve"> PAGEREF _Toc11305 \h </w:instrText>
          </w:r>
          <w:r>
            <w:fldChar w:fldCharType="separate"/>
          </w:r>
          <w:r>
            <w:t>- 13 -</w:t>
          </w:r>
          <w:r>
            <w:fldChar w:fldCharType="end"/>
          </w:r>
          <w:r>
            <w:fldChar w:fldCharType="end"/>
          </w:r>
        </w:p>
        <w:p w14:paraId="62C41BB2">
          <w:pPr>
            <w:pStyle w:val="7"/>
            <w:tabs>
              <w:tab w:val="right" w:leader="dot" w:pos="8306"/>
            </w:tabs>
          </w:pPr>
          <w:r>
            <w:fldChar w:fldCharType="begin"/>
          </w:r>
          <w:r>
            <w:instrText xml:space="preserve"> HYPERLINK \l _Toc18033 </w:instrText>
          </w:r>
          <w:r>
            <w:fldChar w:fldCharType="separate"/>
          </w:r>
          <w:r>
            <w:rPr>
              <w:rFonts w:hint="eastAsia"/>
              <w:lang w:eastAsia="zh-CN"/>
            </w:rPr>
            <w:t>1.现代农业科技创新工程：</w:t>
          </w:r>
          <w:r>
            <w:tab/>
          </w:r>
          <w:r>
            <w:fldChar w:fldCharType="begin"/>
          </w:r>
          <w:r>
            <w:instrText xml:space="preserve"> PAGEREF _Toc18033 \h </w:instrText>
          </w:r>
          <w:r>
            <w:fldChar w:fldCharType="separate"/>
          </w:r>
          <w:r>
            <w:t>- 14 -</w:t>
          </w:r>
          <w:r>
            <w:fldChar w:fldCharType="end"/>
          </w:r>
          <w:r>
            <w:fldChar w:fldCharType="end"/>
          </w:r>
        </w:p>
        <w:p w14:paraId="43636483">
          <w:pPr>
            <w:pStyle w:val="7"/>
            <w:tabs>
              <w:tab w:val="right" w:leader="dot" w:pos="8306"/>
            </w:tabs>
          </w:pPr>
          <w:r>
            <w:fldChar w:fldCharType="begin"/>
          </w:r>
          <w:r>
            <w:instrText xml:space="preserve"> HYPERLINK \l _Toc25508 </w:instrText>
          </w:r>
          <w:r>
            <w:fldChar w:fldCharType="separate"/>
          </w:r>
          <w:r>
            <w:rPr>
              <w:rFonts w:hint="eastAsia"/>
              <w:lang w:eastAsia="zh-CN"/>
            </w:rPr>
            <w:t>2.中医药大健康产业创新工程：</w:t>
          </w:r>
          <w:r>
            <w:tab/>
          </w:r>
          <w:r>
            <w:fldChar w:fldCharType="begin"/>
          </w:r>
          <w:r>
            <w:instrText xml:space="preserve"> PAGEREF _Toc25508 \h </w:instrText>
          </w:r>
          <w:r>
            <w:fldChar w:fldCharType="separate"/>
          </w:r>
          <w:r>
            <w:t>- 14 -</w:t>
          </w:r>
          <w:r>
            <w:fldChar w:fldCharType="end"/>
          </w:r>
          <w:r>
            <w:fldChar w:fldCharType="end"/>
          </w:r>
        </w:p>
        <w:p w14:paraId="0E570A00">
          <w:pPr>
            <w:pStyle w:val="7"/>
            <w:tabs>
              <w:tab w:val="right" w:leader="dot" w:pos="8306"/>
            </w:tabs>
          </w:pPr>
          <w:r>
            <w:fldChar w:fldCharType="begin"/>
          </w:r>
          <w:r>
            <w:instrText xml:space="preserve"> HYPERLINK \l _Toc3929 </w:instrText>
          </w:r>
          <w:r>
            <w:fldChar w:fldCharType="separate"/>
          </w:r>
          <w:r>
            <w:rPr>
              <w:rFonts w:hint="eastAsia"/>
              <w:lang w:eastAsia="zh-CN"/>
            </w:rPr>
            <w:t>3.攻关生态治理科技与沙漠资源化利用：</w:t>
          </w:r>
          <w:bookmarkStart w:id="62" w:name="_GoBack"/>
          <w:bookmarkEnd w:id="62"/>
          <w:r>
            <w:tab/>
          </w:r>
          <w:r>
            <w:fldChar w:fldCharType="begin"/>
          </w:r>
          <w:r>
            <w:instrText xml:space="preserve"> PAGEREF _Toc3929 \h </w:instrText>
          </w:r>
          <w:r>
            <w:fldChar w:fldCharType="separate"/>
          </w:r>
          <w:r>
            <w:t>- 15 -</w:t>
          </w:r>
          <w:r>
            <w:fldChar w:fldCharType="end"/>
          </w:r>
          <w:r>
            <w:fldChar w:fldCharType="end"/>
          </w:r>
        </w:p>
        <w:p w14:paraId="5193F568">
          <w:pPr>
            <w:pStyle w:val="7"/>
            <w:tabs>
              <w:tab w:val="right" w:leader="dot" w:pos="8306"/>
            </w:tabs>
          </w:pPr>
          <w:r>
            <w:fldChar w:fldCharType="begin"/>
          </w:r>
          <w:r>
            <w:instrText xml:space="preserve"> HYPERLINK \l _Toc27646 </w:instrText>
          </w:r>
          <w:r>
            <w:fldChar w:fldCharType="separate"/>
          </w:r>
          <w:r>
            <w:rPr>
              <w:rFonts w:hint="eastAsia"/>
              <w:lang w:val="en-US" w:eastAsia="zh-CN"/>
            </w:rPr>
            <w:t>4</w:t>
          </w:r>
          <w:r>
            <w:rPr>
              <w:rFonts w:hint="eastAsia"/>
              <w:lang w:eastAsia="zh-CN"/>
            </w:rPr>
            <w:t>.开展矿产资源绿色开发与利用创新：</w:t>
          </w:r>
          <w:r>
            <w:tab/>
          </w:r>
          <w:r>
            <w:fldChar w:fldCharType="begin"/>
          </w:r>
          <w:r>
            <w:instrText xml:space="preserve"> PAGEREF _Toc27646 \h </w:instrText>
          </w:r>
          <w:r>
            <w:fldChar w:fldCharType="separate"/>
          </w:r>
          <w:r>
            <w:t>- 15 -</w:t>
          </w:r>
          <w:r>
            <w:fldChar w:fldCharType="end"/>
          </w:r>
          <w:r>
            <w:fldChar w:fldCharType="end"/>
          </w:r>
        </w:p>
        <w:p w14:paraId="66043C7D">
          <w:pPr>
            <w:pStyle w:val="7"/>
            <w:tabs>
              <w:tab w:val="right" w:leader="dot" w:pos="8306"/>
            </w:tabs>
          </w:pPr>
          <w:r>
            <w:fldChar w:fldCharType="begin"/>
          </w:r>
          <w:r>
            <w:instrText xml:space="preserve"> HYPERLINK \l _Toc14770 </w:instrText>
          </w:r>
          <w:r>
            <w:fldChar w:fldCharType="separate"/>
          </w:r>
          <w:r>
            <w:rPr>
              <w:rFonts w:hint="eastAsia"/>
              <w:lang w:val="en-US" w:eastAsia="zh-CN"/>
            </w:rPr>
            <w:t>5</w:t>
          </w:r>
          <w:r>
            <w:rPr>
              <w:rFonts w:hint="eastAsia"/>
              <w:lang w:eastAsia="zh-CN"/>
            </w:rPr>
            <w:t>.数字经济融合赋能工程：</w:t>
          </w:r>
          <w:r>
            <w:tab/>
          </w:r>
          <w:r>
            <w:fldChar w:fldCharType="begin"/>
          </w:r>
          <w:r>
            <w:instrText xml:space="preserve"> PAGEREF _Toc14770 \h </w:instrText>
          </w:r>
          <w:r>
            <w:fldChar w:fldCharType="separate"/>
          </w:r>
          <w:r>
            <w:t>- 15 -</w:t>
          </w:r>
          <w:r>
            <w:fldChar w:fldCharType="end"/>
          </w:r>
          <w:r>
            <w:fldChar w:fldCharType="end"/>
          </w:r>
        </w:p>
        <w:p w14:paraId="6C18056F">
          <w:pPr>
            <w:pStyle w:val="7"/>
            <w:tabs>
              <w:tab w:val="right" w:leader="dot" w:pos="8306"/>
            </w:tabs>
          </w:pPr>
          <w:r>
            <w:fldChar w:fldCharType="begin"/>
          </w:r>
          <w:r>
            <w:instrText xml:space="preserve"> HYPERLINK \l _Toc23772 </w:instrText>
          </w:r>
          <w:r>
            <w:fldChar w:fldCharType="separate"/>
          </w:r>
          <w:r>
            <w:rPr>
              <w:rFonts w:hint="eastAsia"/>
              <w:lang w:val="en-US" w:eastAsia="zh-CN"/>
            </w:rPr>
            <w:t>6</w:t>
          </w:r>
          <w:r>
            <w:rPr>
              <w:rFonts w:hint="eastAsia"/>
              <w:lang w:eastAsia="zh-CN"/>
            </w:rPr>
            <w:t>.实施科技企业梯度培育“繁星计划”：</w:t>
          </w:r>
          <w:r>
            <w:tab/>
          </w:r>
          <w:r>
            <w:fldChar w:fldCharType="begin"/>
          </w:r>
          <w:r>
            <w:instrText xml:space="preserve"> PAGEREF _Toc23772 \h </w:instrText>
          </w:r>
          <w:r>
            <w:fldChar w:fldCharType="separate"/>
          </w:r>
          <w:r>
            <w:t>- 16 -</w:t>
          </w:r>
          <w:r>
            <w:fldChar w:fldCharType="end"/>
          </w:r>
          <w:r>
            <w:fldChar w:fldCharType="end"/>
          </w:r>
        </w:p>
        <w:p w14:paraId="24B76CFA">
          <w:pPr>
            <w:pStyle w:val="7"/>
            <w:tabs>
              <w:tab w:val="right" w:leader="dot" w:pos="8306"/>
            </w:tabs>
          </w:pPr>
          <w:r>
            <w:fldChar w:fldCharType="begin"/>
          </w:r>
          <w:r>
            <w:instrText xml:space="preserve"> HYPERLINK \l _Toc26881 </w:instrText>
          </w:r>
          <w:r>
            <w:fldChar w:fldCharType="separate"/>
          </w:r>
          <w:r>
            <w:rPr>
              <w:rFonts w:hint="eastAsia"/>
              <w:lang w:val="en-US" w:eastAsia="zh-CN"/>
            </w:rPr>
            <w:t>7</w:t>
          </w:r>
          <w:r>
            <w:rPr>
              <w:rFonts w:hint="eastAsia"/>
              <w:lang w:eastAsia="zh-CN"/>
            </w:rPr>
            <w:t>.打造“皮山智造”品牌行动：</w:t>
          </w:r>
          <w:r>
            <w:tab/>
          </w:r>
          <w:r>
            <w:fldChar w:fldCharType="begin"/>
          </w:r>
          <w:r>
            <w:instrText xml:space="preserve"> PAGEREF _Toc26881 \h </w:instrText>
          </w:r>
          <w:r>
            <w:fldChar w:fldCharType="separate"/>
          </w:r>
          <w:r>
            <w:t>- 16 -</w:t>
          </w:r>
          <w:r>
            <w:fldChar w:fldCharType="end"/>
          </w:r>
          <w:r>
            <w:fldChar w:fldCharType="end"/>
          </w:r>
        </w:p>
        <w:p w14:paraId="0B07F25D">
          <w:pPr>
            <w:pStyle w:val="7"/>
            <w:tabs>
              <w:tab w:val="right" w:leader="dot" w:pos="8306"/>
            </w:tabs>
          </w:pPr>
          <w:r>
            <w:fldChar w:fldCharType="begin"/>
          </w:r>
          <w:r>
            <w:instrText xml:space="preserve"> HYPERLINK \l _Toc21588 </w:instrText>
          </w:r>
          <w:r>
            <w:fldChar w:fldCharType="separate"/>
          </w:r>
          <w:r>
            <w:rPr>
              <w:rFonts w:hint="eastAsia"/>
              <w:lang w:val="en-US" w:eastAsia="zh-CN"/>
            </w:rPr>
            <w:t>8</w:t>
          </w:r>
          <w:r>
            <w:rPr>
              <w:rFonts w:hint="eastAsia"/>
              <w:lang w:eastAsia="zh-CN"/>
            </w:rPr>
            <w:t>.实施“皮山英才”计划：</w:t>
          </w:r>
          <w:r>
            <w:tab/>
          </w:r>
          <w:r>
            <w:fldChar w:fldCharType="begin"/>
          </w:r>
          <w:r>
            <w:instrText xml:space="preserve"> PAGEREF _Toc21588 \h </w:instrText>
          </w:r>
          <w:r>
            <w:fldChar w:fldCharType="separate"/>
          </w:r>
          <w:r>
            <w:t>- 16 -</w:t>
          </w:r>
          <w:r>
            <w:fldChar w:fldCharType="end"/>
          </w:r>
          <w:r>
            <w:fldChar w:fldCharType="end"/>
          </w:r>
        </w:p>
        <w:p w14:paraId="6D60CAC5">
          <w:pPr>
            <w:pStyle w:val="7"/>
            <w:tabs>
              <w:tab w:val="right" w:leader="dot" w:pos="8306"/>
            </w:tabs>
          </w:pPr>
          <w:r>
            <w:fldChar w:fldCharType="begin"/>
          </w:r>
          <w:r>
            <w:instrText xml:space="preserve"> HYPERLINK \l _Toc20739 </w:instrText>
          </w:r>
          <w:r>
            <w:fldChar w:fldCharType="separate"/>
          </w:r>
          <w:r>
            <w:rPr>
              <w:rFonts w:hint="eastAsia"/>
              <w:lang w:val="en-US" w:eastAsia="zh-CN"/>
            </w:rPr>
            <w:t>9</w:t>
          </w:r>
          <w:r>
            <w:rPr>
              <w:rFonts w:hint="eastAsia"/>
              <w:lang w:eastAsia="zh-CN"/>
            </w:rPr>
            <w:t>.深化本土人才培养“扎根工程”：</w:t>
          </w:r>
          <w:r>
            <w:tab/>
          </w:r>
          <w:r>
            <w:fldChar w:fldCharType="begin"/>
          </w:r>
          <w:r>
            <w:instrText xml:space="preserve"> PAGEREF _Toc20739 \h </w:instrText>
          </w:r>
          <w:r>
            <w:fldChar w:fldCharType="separate"/>
          </w:r>
          <w:r>
            <w:t>- 17 -</w:t>
          </w:r>
          <w:r>
            <w:fldChar w:fldCharType="end"/>
          </w:r>
          <w:r>
            <w:fldChar w:fldCharType="end"/>
          </w:r>
        </w:p>
        <w:p w14:paraId="35CD4CC8">
          <w:pPr>
            <w:pStyle w:val="12"/>
            <w:tabs>
              <w:tab w:val="right" w:leader="dot" w:pos="8306"/>
            </w:tabs>
          </w:pPr>
          <w:r>
            <w:fldChar w:fldCharType="begin"/>
          </w:r>
          <w:r>
            <w:instrText xml:space="preserve"> HYPERLINK \l _Toc5424 </w:instrText>
          </w:r>
          <w:r>
            <w:fldChar w:fldCharType="separate"/>
          </w:r>
          <w:r>
            <w:rPr>
              <w:rFonts w:hint="eastAsia"/>
              <w:lang w:val="en-US" w:eastAsia="zh-CN"/>
            </w:rPr>
            <w:t>（四）深化科技开放合作，推动科技援疆体系化、系统化建设</w:t>
          </w:r>
          <w:r>
            <w:tab/>
          </w:r>
          <w:r>
            <w:fldChar w:fldCharType="begin"/>
          </w:r>
          <w:r>
            <w:instrText xml:space="preserve"> PAGEREF _Toc5424 \h </w:instrText>
          </w:r>
          <w:r>
            <w:fldChar w:fldCharType="separate"/>
          </w:r>
          <w:r>
            <w:t>- 17 -</w:t>
          </w:r>
          <w:r>
            <w:fldChar w:fldCharType="end"/>
          </w:r>
          <w:r>
            <w:fldChar w:fldCharType="end"/>
          </w:r>
        </w:p>
        <w:p w14:paraId="5A0D1518">
          <w:pPr>
            <w:pStyle w:val="12"/>
            <w:tabs>
              <w:tab w:val="right" w:leader="dot" w:pos="8306"/>
            </w:tabs>
          </w:pPr>
          <w:r>
            <w:fldChar w:fldCharType="begin"/>
          </w:r>
          <w:r>
            <w:instrText xml:space="preserve"> HYPERLINK \l _Toc30576 </w:instrText>
          </w:r>
          <w:r>
            <w:fldChar w:fldCharType="separate"/>
          </w:r>
          <w:r>
            <w:rPr>
              <w:rFonts w:hint="eastAsia"/>
              <w:lang w:val="en-US" w:eastAsia="zh-CN"/>
            </w:rPr>
            <w:t>（五）深化科普惠民“提质增效”，促进社会和谐发展</w:t>
          </w:r>
          <w:r>
            <w:tab/>
          </w:r>
          <w:r>
            <w:fldChar w:fldCharType="begin"/>
          </w:r>
          <w:r>
            <w:instrText xml:space="preserve"> PAGEREF _Toc30576 \h </w:instrText>
          </w:r>
          <w:r>
            <w:fldChar w:fldCharType="separate"/>
          </w:r>
          <w:r>
            <w:t>- 18 -</w:t>
          </w:r>
          <w:r>
            <w:fldChar w:fldCharType="end"/>
          </w:r>
          <w:r>
            <w:fldChar w:fldCharType="end"/>
          </w:r>
        </w:p>
        <w:p w14:paraId="35573EC8">
          <w:pPr>
            <w:pStyle w:val="10"/>
            <w:tabs>
              <w:tab w:val="right" w:leader="dot" w:pos="8306"/>
            </w:tabs>
          </w:pPr>
          <w:r>
            <w:fldChar w:fldCharType="begin"/>
          </w:r>
          <w:r>
            <w:instrText xml:space="preserve"> HYPERLINK \l _Toc27661 </w:instrText>
          </w:r>
          <w:r>
            <w:fldChar w:fldCharType="separate"/>
          </w:r>
          <w:r>
            <w:rPr>
              <w:rFonts w:hint="eastAsia"/>
              <w:lang w:val="en-US" w:eastAsia="zh-CN"/>
            </w:rPr>
            <w:t>四、保障措施</w:t>
          </w:r>
          <w:r>
            <w:tab/>
          </w:r>
          <w:r>
            <w:fldChar w:fldCharType="begin"/>
          </w:r>
          <w:r>
            <w:instrText xml:space="preserve"> PAGEREF _Toc27661 \h </w:instrText>
          </w:r>
          <w:r>
            <w:fldChar w:fldCharType="separate"/>
          </w:r>
          <w:r>
            <w:t>- 19 -</w:t>
          </w:r>
          <w:r>
            <w:fldChar w:fldCharType="end"/>
          </w:r>
          <w:r>
            <w:fldChar w:fldCharType="end"/>
          </w:r>
        </w:p>
        <w:p w14:paraId="4A804C4E">
          <w:pPr>
            <w:pStyle w:val="12"/>
            <w:tabs>
              <w:tab w:val="right" w:leader="dot" w:pos="8306"/>
            </w:tabs>
          </w:pPr>
          <w:r>
            <w:fldChar w:fldCharType="begin"/>
          </w:r>
          <w:r>
            <w:instrText xml:space="preserve"> HYPERLINK \l _Toc1291 </w:instrText>
          </w:r>
          <w:r>
            <w:fldChar w:fldCharType="separate"/>
          </w:r>
          <w:r>
            <w:rPr>
              <w:rFonts w:hint="eastAsia"/>
              <w:lang w:val="en-US" w:eastAsia="zh-CN"/>
            </w:rPr>
            <w:t>（一）加强组织领导，健全统筹协调机制</w:t>
          </w:r>
          <w:r>
            <w:tab/>
          </w:r>
          <w:r>
            <w:fldChar w:fldCharType="begin"/>
          </w:r>
          <w:r>
            <w:instrText xml:space="preserve"> PAGEREF _Toc1291 \h </w:instrText>
          </w:r>
          <w:r>
            <w:fldChar w:fldCharType="separate"/>
          </w:r>
          <w:r>
            <w:t>- 19 -</w:t>
          </w:r>
          <w:r>
            <w:fldChar w:fldCharType="end"/>
          </w:r>
          <w:r>
            <w:fldChar w:fldCharType="end"/>
          </w:r>
        </w:p>
        <w:p w14:paraId="15C68950">
          <w:pPr>
            <w:pStyle w:val="12"/>
            <w:tabs>
              <w:tab w:val="right" w:leader="dot" w:pos="8306"/>
            </w:tabs>
          </w:pPr>
          <w:r>
            <w:fldChar w:fldCharType="begin"/>
          </w:r>
          <w:r>
            <w:instrText xml:space="preserve"> HYPERLINK \l _Toc15035 </w:instrText>
          </w:r>
          <w:r>
            <w:fldChar w:fldCharType="separate"/>
          </w:r>
          <w:r>
            <w:rPr>
              <w:rFonts w:hint="eastAsia"/>
              <w:lang w:val="en-US" w:eastAsia="zh-CN"/>
            </w:rPr>
            <w:t>（二）加大科技投入，强化多元资金保障</w:t>
          </w:r>
          <w:r>
            <w:tab/>
          </w:r>
          <w:r>
            <w:fldChar w:fldCharType="begin"/>
          </w:r>
          <w:r>
            <w:instrText xml:space="preserve"> PAGEREF _Toc15035 \h </w:instrText>
          </w:r>
          <w:r>
            <w:fldChar w:fldCharType="separate"/>
          </w:r>
          <w:r>
            <w:t>- 20 -</w:t>
          </w:r>
          <w:r>
            <w:fldChar w:fldCharType="end"/>
          </w:r>
          <w:r>
            <w:fldChar w:fldCharType="end"/>
          </w:r>
        </w:p>
        <w:p w14:paraId="5FBB7326">
          <w:pPr>
            <w:pStyle w:val="12"/>
            <w:tabs>
              <w:tab w:val="right" w:leader="dot" w:pos="8306"/>
            </w:tabs>
          </w:pPr>
          <w:r>
            <w:fldChar w:fldCharType="begin"/>
          </w:r>
          <w:r>
            <w:instrText xml:space="preserve"> HYPERLINK \l _Toc10273 </w:instrText>
          </w:r>
          <w:r>
            <w:fldChar w:fldCharType="separate"/>
          </w:r>
          <w:r>
            <w:rPr>
              <w:rFonts w:hint="eastAsia"/>
              <w:lang w:val="en-US" w:eastAsia="zh-CN"/>
            </w:rPr>
            <w:t>（三）深化科技体制改革，优化创新生态环境</w:t>
          </w:r>
          <w:r>
            <w:tab/>
          </w:r>
          <w:r>
            <w:fldChar w:fldCharType="begin"/>
          </w:r>
          <w:r>
            <w:instrText xml:space="preserve"> PAGEREF _Toc10273 \h </w:instrText>
          </w:r>
          <w:r>
            <w:fldChar w:fldCharType="separate"/>
          </w:r>
          <w:r>
            <w:t>- 20 -</w:t>
          </w:r>
          <w:r>
            <w:fldChar w:fldCharType="end"/>
          </w:r>
          <w:r>
            <w:fldChar w:fldCharType="end"/>
          </w:r>
        </w:p>
        <w:p w14:paraId="5B71E0B4">
          <w:pPr>
            <w:pStyle w:val="12"/>
            <w:tabs>
              <w:tab w:val="right" w:leader="dot" w:pos="8306"/>
            </w:tabs>
          </w:pPr>
          <w:r>
            <w:fldChar w:fldCharType="begin"/>
          </w:r>
          <w:r>
            <w:instrText xml:space="preserve"> HYPERLINK \l _Toc17219 </w:instrText>
          </w:r>
          <w:r>
            <w:fldChar w:fldCharType="separate"/>
          </w:r>
          <w:r>
            <w:rPr>
              <w:rFonts w:hint="eastAsia"/>
              <w:lang w:val="en-US" w:eastAsia="zh-CN"/>
            </w:rPr>
            <w:t>（四）强化监测评估，确保规划落地见效</w:t>
          </w:r>
          <w:r>
            <w:tab/>
          </w:r>
          <w:r>
            <w:fldChar w:fldCharType="begin"/>
          </w:r>
          <w:r>
            <w:instrText xml:space="preserve"> PAGEREF _Toc17219 \h </w:instrText>
          </w:r>
          <w:r>
            <w:fldChar w:fldCharType="separate"/>
          </w:r>
          <w:r>
            <w:t>- 21 -</w:t>
          </w:r>
          <w:r>
            <w:fldChar w:fldCharType="end"/>
          </w:r>
          <w:r>
            <w:fldChar w:fldCharType="end"/>
          </w:r>
        </w:p>
        <w:p w14:paraId="31174446">
          <w:pPr>
            <w:pStyle w:val="10"/>
            <w:tabs>
              <w:tab w:val="right" w:leader="dot" w:pos="8306"/>
            </w:tabs>
          </w:pPr>
          <w:r>
            <w:fldChar w:fldCharType="begin"/>
          </w:r>
          <w:r>
            <w:instrText xml:space="preserve"> HYPERLINK \l _Toc23503 </w:instrText>
          </w:r>
          <w:r>
            <w:fldChar w:fldCharType="separate"/>
          </w:r>
          <w:r>
            <w:rPr>
              <w:rFonts w:hint="eastAsia"/>
              <w:lang w:val="en-US" w:eastAsia="zh-CN"/>
            </w:rPr>
            <w:t>结语</w:t>
          </w:r>
          <w:r>
            <w:tab/>
          </w:r>
          <w:r>
            <w:fldChar w:fldCharType="begin"/>
          </w:r>
          <w:r>
            <w:instrText xml:space="preserve"> PAGEREF _Toc23503 \h </w:instrText>
          </w:r>
          <w:r>
            <w:fldChar w:fldCharType="separate"/>
          </w:r>
          <w:r>
            <w:t>- 22 -</w:t>
          </w:r>
          <w:r>
            <w:fldChar w:fldCharType="end"/>
          </w:r>
          <w:r>
            <w:fldChar w:fldCharType="end"/>
          </w:r>
        </w:p>
        <w:p w14:paraId="652DA49B">
          <w:r>
            <w:fldChar w:fldCharType="end"/>
          </w:r>
        </w:p>
      </w:sdtContent>
    </w:sdt>
    <w:p w14:paraId="41E6A3F0"/>
    <w:p w14:paraId="35862047"/>
    <w:p w14:paraId="6474B246"/>
    <w:p w14:paraId="0DC5F227"/>
    <w:p w14:paraId="2126B456"/>
    <w:p w14:paraId="2762C4F5"/>
    <w:p w14:paraId="5E4E3008"/>
    <w:p w14:paraId="6EDE3F32"/>
    <w:p w14:paraId="2789B390"/>
    <w:p w14:paraId="0CA31865">
      <w:pPr>
        <w:pStyle w:val="2"/>
      </w:pPr>
    </w:p>
    <w:p w14:paraId="3531DB38"/>
    <w:p w14:paraId="20BDBBDC">
      <w:pPr>
        <w:pStyle w:val="2"/>
      </w:pPr>
    </w:p>
    <w:p w14:paraId="043226CF"/>
    <w:p w14:paraId="4E521EBB">
      <w:pPr>
        <w:pStyle w:val="2"/>
      </w:pPr>
    </w:p>
    <w:p w14:paraId="7EC5D025"/>
    <w:p w14:paraId="16DD4CFF">
      <w:pPr>
        <w:pStyle w:val="2"/>
      </w:pPr>
    </w:p>
    <w:p w14:paraId="3E477E54"/>
    <w:p w14:paraId="1B27501A">
      <w:pPr>
        <w:pStyle w:val="2"/>
      </w:pPr>
    </w:p>
    <w:p w14:paraId="4762FE4C"/>
    <w:p w14:paraId="288B3E80"/>
    <w:p w14:paraId="245D5FED"/>
    <w:p w14:paraId="0622FD20">
      <w:pPr>
        <w:pStyle w:val="3"/>
        <w:bidi w:val="0"/>
        <w:rPr>
          <w:rFonts w:hint="eastAsia"/>
          <w:lang w:eastAsia="zh-CN"/>
        </w:rPr>
        <w:sectPr>
          <w:pgSz w:w="11906" w:h="16838"/>
          <w:pgMar w:top="1440" w:right="1800" w:bottom="1440" w:left="1800" w:header="851" w:footer="992" w:gutter="0"/>
          <w:pgNumType w:fmt="numberInDash"/>
          <w:cols w:space="425" w:num="1"/>
          <w:docGrid w:type="lines" w:linePitch="312" w:charSpace="0"/>
        </w:sectPr>
      </w:pPr>
      <w:bookmarkStart w:id="0" w:name="_Toc27973"/>
      <w:bookmarkStart w:id="1" w:name="_Toc23568"/>
    </w:p>
    <w:p w14:paraId="2668D52C">
      <w:pPr>
        <w:pStyle w:val="3"/>
        <w:bidi w:val="0"/>
        <w:rPr>
          <w:rFonts w:hint="eastAsia" w:ascii="黑体" w:hAnsi="黑体" w:eastAsia="黑体" w:cs="黑体"/>
          <w:szCs w:val="32"/>
          <w:lang w:eastAsia="zh-CN"/>
        </w:rPr>
      </w:pPr>
      <w:r>
        <w:rPr>
          <w:rFonts w:hint="eastAsia"/>
          <w:lang w:eastAsia="zh-CN"/>
        </w:rPr>
        <w:t>前言</w:t>
      </w:r>
      <w:bookmarkEnd w:id="0"/>
      <w:bookmarkEnd w:id="1"/>
    </w:p>
    <w:p w14:paraId="39946F1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十五五”时期是我国在全面建成小康社会基础上，乘势而上开启全面建设社会主义现代化国家新征程、向第二个百年奋斗目标进军的关键五年，是新疆维吾尔自治区加快建设丝绸之路经济带核心区、推进社会稳定和长治久安的重要阶段，也是皮山县立足新发展阶段、贯彻新发展理念、融入新发展格局，实现经济社会高质量发展的攻坚期和战略机遇期。科技创新作为引领发展的第一动力，其战略支撑地位比以往任何时候都更加凸显。</w:t>
      </w:r>
    </w:p>
    <w:p w14:paraId="7D461D4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前，全球新一轮科技革命和产业变革深入发展，人工智能、生物技术、新能源、新材料等领域颠覆性技术不断涌现，科技创新已成为国际战略博弈的主要战场和国家竞争力的核心。国家深入实施创新驱动发展战略，强化科技自立自强，构建新发展格局，为西部地区带来了前所未有的历史机遇。新疆维吾尔自治区坚定不移推进创新驱动发展，着力打造区域科技创新高地，为皮山县提供了明确的政策指引和广阔的发展空间。</w:t>
      </w:r>
    </w:p>
    <w:p w14:paraId="25E15BC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规划依据《国家创新驱动发展战略纲要》《新疆维吾尔自治区国民经济和社会发展第十四个五年规划和2035年远景目标纲要》《和田地区科技创新“十四五”规划》以及《皮山县国民经济和社会发展第十四个五年规划和2035年远景目标纲要》等文件精神，在全面总结评估《皮山县科技创新“十四五”规划》实施成效与经验的基础上，着眼于2035年远景目标，科学分析新形势、新需求、新挑战，明确了“十五五”时期皮山县科技创新的指导思想、基本原则、发展目标、重点任务和保障措施，是指导未来五年全县科技创新工作的行动纲领和宏伟蓝图。</w:t>
      </w:r>
    </w:p>
    <w:p w14:paraId="17E6488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规划旨在凝聚全县共识，汇聚各方力量，以科技创新催生新发展动能，以创新驱动引领高质量发展，为皮山县巩固拓展脱贫攻坚成果、全面推进乡村振兴、维护社会稳定和长治久安、谱写社会主义现代化建设新篇章提供坚实有力的科技支撑。</w:t>
      </w:r>
    </w:p>
    <w:p w14:paraId="48133A0A">
      <w:pPr>
        <w:pStyle w:val="3"/>
        <w:bidi w:val="0"/>
        <w:ind w:firstLine="640" w:firstLineChars="200"/>
        <w:rPr>
          <w:rFonts w:hint="eastAsia"/>
          <w:lang w:eastAsia="zh-CN"/>
        </w:rPr>
      </w:pPr>
      <w:bookmarkStart w:id="2" w:name="_Toc6147"/>
      <w:bookmarkStart w:id="3" w:name="_Toc7310"/>
      <w:r>
        <w:rPr>
          <w:rFonts w:hint="eastAsia"/>
          <w:lang w:eastAsia="zh-CN"/>
        </w:rPr>
        <w:t>一、发展基础、面临形势与挑战</w:t>
      </w:r>
      <w:bookmarkEnd w:id="2"/>
      <w:bookmarkEnd w:id="3"/>
    </w:p>
    <w:p w14:paraId="41D9C233">
      <w:pPr>
        <w:pStyle w:val="4"/>
        <w:bidi w:val="0"/>
        <w:ind w:firstLine="600" w:firstLineChars="200"/>
        <w:rPr>
          <w:rFonts w:hint="eastAsia"/>
          <w:lang w:val="en-US" w:eastAsia="zh-CN"/>
        </w:rPr>
      </w:pPr>
      <w:bookmarkStart w:id="4" w:name="_Toc13300"/>
      <w:bookmarkStart w:id="5" w:name="_Toc19863"/>
      <w:r>
        <w:rPr>
          <w:rFonts w:hint="eastAsia"/>
          <w:lang w:val="en-US" w:eastAsia="zh-CN"/>
        </w:rPr>
        <w:t>（一）“十四五”时期主要成就与经验总结</w:t>
      </w:r>
      <w:bookmarkEnd w:id="4"/>
      <w:bookmarkEnd w:id="5"/>
    </w:p>
    <w:p w14:paraId="6261B42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“十四五”时期，皮山县坚定不移实施创新驱动发展战略，紧紧围绕社会稳定和长治久安总目标，以科技创新支撑高质量发展，圆满完成了规划确定的主要目标和任务，为“十五五”发展奠定了坚实基础。</w:t>
      </w:r>
    </w:p>
    <w:p w14:paraId="34BDE84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1.科技创新环境实现系统性优化。</w:t>
      </w:r>
    </w:p>
    <w:p w14:paraId="1268DE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平台建设取得重大突破：</w:t>
      </w:r>
      <w:r>
        <w:rPr>
          <w:rFonts w:hint="eastAsia" w:ascii="仿宋_GB2312" w:hAnsi="仿宋_GB2312" w:eastAsia="仿宋_GB2312" w:cs="仿宋_GB2312"/>
          <w:sz w:val="32"/>
          <w:szCs w:val="32"/>
          <w:lang w:eastAsia="zh-CN"/>
        </w:rPr>
        <w:t>皮山县自治区级农业科技园区成功通过验收并正式运营，成为集聚创新要素的核心载体。</w:t>
      </w:r>
      <w:r>
        <w:rPr>
          <w:rFonts w:hint="eastAsia" w:ascii="仿宋_GB2312" w:hAnsi="仿宋_GB2312" w:eastAsia="仿宋_GB2312" w:cs="仿宋_GB2312"/>
          <w:sz w:val="32"/>
          <w:szCs w:val="32"/>
          <w:lang w:val="en-US" w:eastAsia="zh-CN"/>
        </w:rPr>
        <w:t>完成了1家自治区级“星创天地”的申报认定，</w:t>
      </w:r>
      <w:r>
        <w:rPr>
          <w:rFonts w:hint="eastAsia" w:ascii="仿宋_GB2312" w:hAnsi="仿宋_GB2312" w:eastAsia="仿宋_GB2312" w:cs="仿宋_GB2312"/>
          <w:sz w:val="32"/>
          <w:szCs w:val="32"/>
          <w:lang w:eastAsia="zh-CN"/>
        </w:rPr>
        <w:t>成为引进消化吸收再创新的桥头堡。</w:t>
      </w:r>
    </w:p>
    <w:p w14:paraId="29B5D9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创新文化氛围日益浓厚：</w:t>
      </w:r>
      <w:r>
        <w:rPr>
          <w:rFonts w:hint="eastAsia" w:ascii="仿宋_GB2312" w:hAnsi="仿宋_GB2312" w:eastAsia="仿宋_GB2312" w:cs="仿宋_GB2312"/>
          <w:sz w:val="32"/>
          <w:szCs w:val="32"/>
          <w:lang w:eastAsia="zh-CN"/>
        </w:rPr>
        <w:t>累计组织</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家次企业参加国家、自治区级各类科技展会。多元、开放、包容、共享的创新创业文化深入人心，尊重知识、崇尚创新的社会风尚逐渐形成。</w:t>
      </w:r>
    </w:p>
    <w:p w14:paraId="3EB6906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2.企业创新能力得到实质性增强。</w:t>
      </w:r>
    </w:p>
    <w:p w14:paraId="369FDF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创新主体数量质量双提升：</w:t>
      </w:r>
      <w:r>
        <w:rPr>
          <w:rFonts w:hint="eastAsia" w:ascii="仿宋_GB2312" w:hAnsi="仿宋_GB2312" w:eastAsia="仿宋_GB2312" w:cs="仿宋_GB2312"/>
          <w:sz w:val="32"/>
          <w:szCs w:val="32"/>
          <w:lang w:eastAsia="zh-CN"/>
        </w:rPr>
        <w:t>截至2025年底，全县有效期内国家高新技术企业达到6家，超额完成目标；备案自治区科技型中小企业10家；培育形成1家具有较强带动作用的创新型龙头企业。</w:t>
      </w:r>
    </w:p>
    <w:p w14:paraId="13C78D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关键技术攻关初见成效：</w:t>
      </w:r>
      <w:r>
        <w:rPr>
          <w:rFonts w:hint="eastAsia" w:ascii="仿宋_GB2312" w:hAnsi="仿宋_GB2312" w:eastAsia="仿宋_GB2312" w:cs="仿宋_GB2312"/>
          <w:sz w:val="32"/>
          <w:szCs w:val="32"/>
          <w:lang w:eastAsia="zh-CN"/>
        </w:rPr>
        <w:t>围绕主导产业，组织实施了驴产业提质增效与精深加工技术集成示范、皮山红羊本品种选育与健康养殖、特色中药材（</w:t>
      </w:r>
      <w:r>
        <w:rPr>
          <w:rFonts w:hint="eastAsia" w:ascii="仿宋_GB2312" w:hAnsi="仿宋_GB2312" w:eastAsia="仿宋_GB2312" w:cs="仿宋_GB2312"/>
          <w:sz w:val="32"/>
          <w:szCs w:val="32"/>
          <w:lang w:val="en-US" w:eastAsia="zh-CN"/>
        </w:rPr>
        <w:t>瓜蒌</w:t>
      </w:r>
      <w:r>
        <w:rPr>
          <w:rFonts w:hint="eastAsia" w:ascii="仿宋_GB2312" w:hAnsi="仿宋_GB2312" w:eastAsia="仿宋_GB2312" w:cs="仿宋_GB2312"/>
          <w:sz w:val="32"/>
          <w:szCs w:val="32"/>
          <w:lang w:eastAsia="zh-CN"/>
        </w:rPr>
        <w:t>）生态种植与产业化开发等一批重大科技专项，突破关键技术</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项，开发新产品、新工艺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余项。</w:t>
      </w:r>
    </w:p>
    <w:p w14:paraId="522CA1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知识产权创造运用能力提升</w:t>
      </w:r>
      <w:r>
        <w:rPr>
          <w:rFonts w:hint="eastAsia" w:ascii="仿宋_GB2312" w:hAnsi="仿宋_GB2312" w:eastAsia="仿宋_GB2312" w:cs="仿宋_GB2312"/>
          <w:sz w:val="32"/>
          <w:szCs w:val="32"/>
          <w:lang w:eastAsia="zh-CN"/>
        </w:rPr>
        <w:t>：全县每万人口发明专利拥有量达到0.</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lang w:eastAsia="zh-CN"/>
        </w:rPr>
        <w:t>件，实现零的突破并超额完成目标。企业知识产权意识显著增强，商标、地理标志保护产品申请量稳步增长。</w:t>
      </w:r>
    </w:p>
    <w:p w14:paraId="633D2FC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3.科技人才队伍呈现结构性改善。</w:t>
      </w:r>
    </w:p>
    <w:p w14:paraId="398347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人才引进机制不断创新：</w:t>
      </w:r>
      <w:r>
        <w:rPr>
          <w:rFonts w:hint="eastAsia" w:ascii="仿宋_GB2312" w:hAnsi="仿宋_GB2312" w:eastAsia="仿宋_GB2312" w:cs="仿宋_GB2312"/>
          <w:sz w:val="32"/>
          <w:szCs w:val="32"/>
          <w:lang w:eastAsia="zh-CN"/>
        </w:rPr>
        <w:t>柔性引进安徽省及国内高校院所专家35人次。通过“项目+人才”模式，吸引了一批硕士研究生和青年科技人才来皮创业就业。</w:t>
      </w:r>
    </w:p>
    <w:p w14:paraId="141048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本土人才培养体系不断完善：</w:t>
      </w:r>
      <w:r>
        <w:rPr>
          <w:rFonts w:hint="eastAsia" w:ascii="仿宋_GB2312" w:hAnsi="仿宋_GB2312" w:eastAsia="仿宋_GB2312" w:cs="仿宋_GB2312"/>
          <w:sz w:val="32"/>
          <w:szCs w:val="32"/>
          <w:lang w:eastAsia="zh-CN"/>
        </w:rPr>
        <w:t>“十四五”期间，累计选派科技特派员520人次，实现所有行政村和主导产业全覆盖。开展高素质农民、农村实用人才等各类培训超过4500人次，培育了一大批“土专家”、“田秀才”。</w:t>
      </w:r>
    </w:p>
    <w:p w14:paraId="7FD1B6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人才效能持续发挥：</w:t>
      </w:r>
      <w:r>
        <w:rPr>
          <w:rFonts w:hint="eastAsia" w:ascii="仿宋_GB2312" w:hAnsi="仿宋_GB2312" w:eastAsia="仿宋_GB2312" w:cs="仿宋_GB2312"/>
          <w:sz w:val="32"/>
          <w:szCs w:val="32"/>
          <w:lang w:eastAsia="zh-CN"/>
        </w:rPr>
        <w:t>广大科技人才深入基层一线，开展技术服务和培训超千场，解决生产技术难题300余项，成为科技惠民、乡村振兴的中坚力量。</w:t>
      </w:r>
    </w:p>
    <w:p w14:paraId="78FED72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4.科技惠民利民取得显著性成效。</w:t>
      </w:r>
    </w:p>
    <w:p w14:paraId="6C5F6F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科技支撑乡村振兴有力有效：</w:t>
      </w:r>
      <w:r>
        <w:rPr>
          <w:rFonts w:hint="eastAsia" w:ascii="仿宋_GB2312" w:hAnsi="仿宋_GB2312" w:eastAsia="仿宋_GB2312" w:cs="仿宋_GB2312"/>
          <w:sz w:val="32"/>
          <w:szCs w:val="32"/>
          <w:lang w:eastAsia="zh-CN"/>
        </w:rPr>
        <w:t>智慧农业、节水灌溉、病虫害绿色防控等一批先进适用技术得到</w:t>
      </w:r>
      <w:r>
        <w:rPr>
          <w:rFonts w:hint="eastAsia" w:ascii="仿宋_GB2312" w:hAnsi="仿宋_GB2312" w:eastAsia="仿宋_GB2312" w:cs="仿宋_GB2312"/>
          <w:sz w:val="32"/>
          <w:szCs w:val="32"/>
          <w:lang w:val="en-US" w:eastAsia="zh-CN"/>
        </w:rPr>
        <w:t>实践</w:t>
      </w:r>
      <w:r>
        <w:rPr>
          <w:rFonts w:hint="eastAsia" w:ascii="仿宋_GB2312" w:hAnsi="仿宋_GB2312" w:eastAsia="仿宋_GB2312" w:cs="仿宋_GB2312"/>
          <w:sz w:val="32"/>
          <w:szCs w:val="32"/>
          <w:lang w:eastAsia="zh-CN"/>
        </w:rPr>
        <w:t>应用，助力农业增产、农民增收。科技在巩固脱贫攻坚成果中的作用</w:t>
      </w:r>
      <w:r>
        <w:rPr>
          <w:rFonts w:hint="eastAsia" w:ascii="仿宋_GB2312" w:hAnsi="仿宋_GB2312" w:eastAsia="仿宋_GB2312" w:cs="仿宋_GB2312"/>
          <w:sz w:val="32"/>
          <w:szCs w:val="32"/>
          <w:lang w:val="en-US" w:eastAsia="zh-CN"/>
        </w:rPr>
        <w:t>日益凸显</w:t>
      </w:r>
      <w:r>
        <w:rPr>
          <w:rFonts w:hint="eastAsia" w:ascii="仿宋_GB2312" w:hAnsi="仿宋_GB2312" w:eastAsia="仿宋_GB2312" w:cs="仿宋_GB2312"/>
          <w:sz w:val="32"/>
          <w:szCs w:val="32"/>
          <w:lang w:eastAsia="zh-CN"/>
        </w:rPr>
        <w:t>。</w:t>
      </w:r>
    </w:p>
    <w:p w14:paraId="1B6DE9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民生科技应用广度深度拓展：</w:t>
      </w:r>
      <w:r>
        <w:rPr>
          <w:rFonts w:hint="eastAsia" w:ascii="仿宋_GB2312" w:hAnsi="仿宋_GB2312" w:eastAsia="仿宋_GB2312" w:cs="仿宋_GB2312"/>
          <w:sz w:val="32"/>
          <w:szCs w:val="32"/>
          <w:lang w:eastAsia="zh-CN"/>
        </w:rPr>
        <w:t>科技在公共卫生突发事件、地震灾害预警、智慧政务、防震减灾等领域的支撑能力</w:t>
      </w:r>
      <w:r>
        <w:rPr>
          <w:rFonts w:hint="eastAsia" w:ascii="仿宋_GB2312" w:hAnsi="仿宋_GB2312" w:eastAsia="仿宋_GB2312" w:cs="仿宋_GB2312"/>
          <w:sz w:val="32"/>
          <w:szCs w:val="32"/>
          <w:lang w:val="en-US" w:eastAsia="zh-CN"/>
        </w:rPr>
        <w:t>显著</w:t>
      </w:r>
      <w:r>
        <w:rPr>
          <w:rFonts w:hint="eastAsia" w:ascii="仿宋_GB2312" w:hAnsi="仿宋_GB2312" w:eastAsia="仿宋_GB2312" w:cs="仿宋_GB2312"/>
          <w:sz w:val="32"/>
          <w:szCs w:val="32"/>
          <w:lang w:eastAsia="zh-CN"/>
        </w:rPr>
        <w:t>提升。“互联网+医疗健康”、“互联网+</w:t>
      </w:r>
      <w:r>
        <w:rPr>
          <w:rFonts w:hint="eastAsia" w:ascii="仿宋_GB2312" w:hAnsi="仿宋_GB2312" w:eastAsia="仿宋_GB2312" w:cs="仿宋_GB2312"/>
          <w:sz w:val="32"/>
          <w:szCs w:val="32"/>
          <w:lang w:val="en-US" w:eastAsia="zh-CN"/>
        </w:rPr>
        <w:t>产业发展</w:t>
      </w:r>
      <w:r>
        <w:rPr>
          <w:rFonts w:hint="eastAsia" w:ascii="仿宋_GB2312" w:hAnsi="仿宋_GB2312" w:eastAsia="仿宋_GB2312" w:cs="仿宋_GB2312"/>
          <w:sz w:val="32"/>
          <w:szCs w:val="32"/>
          <w:lang w:eastAsia="zh-CN"/>
        </w:rPr>
        <w:t>”等惠及千家万户。</w:t>
      </w:r>
    </w:p>
    <w:p w14:paraId="22C821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公民科学素质稳步提高：</w:t>
      </w:r>
      <w:r>
        <w:rPr>
          <w:rFonts w:hint="eastAsia" w:ascii="仿宋_GB2312" w:hAnsi="仿宋_GB2312" w:eastAsia="仿宋_GB2312" w:cs="仿宋_GB2312"/>
          <w:sz w:val="32"/>
          <w:szCs w:val="32"/>
          <w:lang w:eastAsia="zh-CN"/>
        </w:rPr>
        <w:t>建成县级</w:t>
      </w:r>
      <w:r>
        <w:rPr>
          <w:rFonts w:hint="eastAsia" w:ascii="仿宋_GB2312" w:hAnsi="仿宋_GB2312" w:eastAsia="仿宋_GB2312" w:cs="仿宋_GB2312"/>
          <w:sz w:val="32"/>
          <w:szCs w:val="32"/>
          <w:lang w:val="en-US" w:eastAsia="zh-CN"/>
        </w:rPr>
        <w:t>及以上</w:t>
      </w:r>
      <w:r>
        <w:rPr>
          <w:rFonts w:hint="eastAsia" w:ascii="仿宋_GB2312" w:hAnsi="仿宋_GB2312" w:eastAsia="仿宋_GB2312" w:cs="仿宋_GB2312"/>
          <w:sz w:val="32"/>
          <w:szCs w:val="32"/>
          <w:lang w:eastAsia="zh-CN"/>
        </w:rPr>
        <w:t>科普教育基地3个，组织开展科技活动周、全国科普日等大型活动30余场次，线上线下惠及群众超5万人次，公民具备科学素质的比例显著提升。</w:t>
      </w:r>
    </w:p>
    <w:p w14:paraId="64469C8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5.开放创新合作形成常态化格局。</w:t>
      </w:r>
    </w:p>
    <w:p w14:paraId="558BD2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援疆合作深化拓展：</w:t>
      </w:r>
      <w:r>
        <w:rPr>
          <w:rFonts w:hint="eastAsia" w:ascii="仿宋_GB2312" w:hAnsi="仿宋_GB2312" w:eastAsia="仿宋_GB2312" w:cs="仿宋_GB2312"/>
          <w:sz w:val="32"/>
          <w:szCs w:val="32"/>
          <w:lang w:eastAsia="zh-CN"/>
        </w:rPr>
        <w:t>皖皮科技合作从单向援助向双向互动、共建共享转变。共同实施科技项目</w:t>
      </w:r>
      <w:r>
        <w:rPr>
          <w:rFonts w:hint="default"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项，联合培养人才100余名，技术合同成交额实现历史性突破。</w:t>
      </w:r>
    </w:p>
    <w:p w14:paraId="652643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兵地融合走深走实：</w:t>
      </w:r>
      <w:r>
        <w:rPr>
          <w:rFonts w:hint="eastAsia" w:ascii="仿宋_GB2312" w:hAnsi="仿宋_GB2312" w:eastAsia="仿宋_GB2312" w:cs="仿宋_GB2312"/>
          <w:sz w:val="32"/>
          <w:szCs w:val="32"/>
          <w:lang w:val="en-US" w:eastAsia="zh-CN"/>
        </w:rPr>
        <w:t>探索</w:t>
      </w:r>
      <w:r>
        <w:rPr>
          <w:rFonts w:hint="eastAsia" w:ascii="仿宋_GB2312" w:hAnsi="仿宋_GB2312" w:eastAsia="仿宋_GB2312" w:cs="仿宋_GB2312"/>
          <w:sz w:val="32"/>
          <w:szCs w:val="32"/>
          <w:lang w:eastAsia="zh-CN"/>
        </w:rPr>
        <w:t>与昆玉市建立了科技联席会议制度，在农作物新品种示范、畜禽疫病联防联控、科技人才交流等方面开展了深入合作。</w:t>
      </w:r>
    </w:p>
    <w:p w14:paraId="2260D7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对外交流打开新局面：</w:t>
      </w:r>
      <w:r>
        <w:rPr>
          <w:rFonts w:hint="eastAsia" w:ascii="仿宋_GB2312" w:hAnsi="仿宋_GB2312" w:eastAsia="仿宋_GB2312" w:cs="仿宋_GB2312"/>
          <w:sz w:val="32"/>
          <w:szCs w:val="32"/>
          <w:lang w:eastAsia="zh-CN"/>
        </w:rPr>
        <w:t>借助丝绸之路经济带核心区建设，与</w:t>
      </w:r>
      <w:r>
        <w:rPr>
          <w:rFonts w:hint="eastAsia" w:ascii="仿宋_GB2312" w:hAnsi="仿宋_GB2312" w:eastAsia="仿宋_GB2312" w:cs="仿宋_GB2312"/>
          <w:sz w:val="32"/>
          <w:szCs w:val="32"/>
          <w:lang w:val="en-US" w:eastAsia="zh-CN"/>
        </w:rPr>
        <w:t>中科院、国家林科院、北京大学等多个科研院所与高校在</w:t>
      </w:r>
      <w:r>
        <w:rPr>
          <w:rFonts w:hint="eastAsia" w:ascii="仿宋_GB2312" w:hAnsi="仿宋_GB2312" w:eastAsia="仿宋_GB2312" w:cs="仿宋_GB2312"/>
          <w:sz w:val="32"/>
          <w:szCs w:val="32"/>
          <w:lang w:eastAsia="zh-CN"/>
        </w:rPr>
        <w:t>农业技术、荒漠化防治等领域</w:t>
      </w:r>
      <w:r>
        <w:rPr>
          <w:rFonts w:hint="eastAsia" w:ascii="仿宋_GB2312" w:hAnsi="仿宋_GB2312" w:eastAsia="仿宋_GB2312" w:cs="仿宋_GB2312"/>
          <w:sz w:val="32"/>
          <w:szCs w:val="32"/>
          <w:lang w:val="en-US" w:eastAsia="zh-CN"/>
        </w:rPr>
        <w:t>建立了</w:t>
      </w:r>
      <w:r>
        <w:rPr>
          <w:rFonts w:hint="eastAsia" w:ascii="仿宋_GB2312" w:hAnsi="仿宋_GB2312" w:eastAsia="仿宋_GB2312" w:cs="仿宋_GB2312"/>
          <w:sz w:val="32"/>
          <w:szCs w:val="32"/>
          <w:lang w:eastAsia="zh-CN"/>
        </w:rPr>
        <w:t>的技术交流与合作。</w:t>
      </w:r>
    </w:p>
    <w:p w14:paraId="64002806">
      <w:pPr>
        <w:pStyle w:val="4"/>
        <w:bidi w:val="0"/>
        <w:ind w:firstLine="600" w:firstLineChars="200"/>
        <w:rPr>
          <w:rFonts w:hint="eastAsia"/>
          <w:lang w:val="en-US" w:eastAsia="zh-CN"/>
        </w:rPr>
      </w:pPr>
      <w:bookmarkStart w:id="6" w:name="_Toc6672"/>
      <w:bookmarkStart w:id="7" w:name="_Toc23911"/>
      <w:r>
        <w:rPr>
          <w:rFonts w:hint="eastAsia"/>
          <w:lang w:val="en-US" w:eastAsia="zh-CN"/>
        </w:rPr>
        <w:t>（二）存在的问题与短板</w:t>
      </w:r>
      <w:bookmarkEnd w:id="6"/>
      <w:bookmarkEnd w:id="7"/>
    </w:p>
    <w:p w14:paraId="1B4140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在肯定成绩的同时，也必须清醒地认识到，皮山县科技创新基础薄弱、能力不强的现状尚未根本改变，仍是全区创新体系的“洼地”，主要表现在：</w:t>
      </w:r>
    </w:p>
    <w:p w14:paraId="7B29C14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1.自主创新能力依然薄弱：</w:t>
      </w:r>
      <w:r>
        <w:rPr>
          <w:rFonts w:hint="eastAsia" w:ascii="仿宋_GB2312" w:hAnsi="仿宋_GB2312" w:eastAsia="仿宋_GB2312" w:cs="仿宋_GB2312"/>
          <w:sz w:val="32"/>
          <w:szCs w:val="32"/>
          <w:lang w:eastAsia="zh-CN"/>
        </w:rPr>
        <w:t>缺乏高水平研究和</w:t>
      </w:r>
      <w:r>
        <w:rPr>
          <w:rFonts w:hint="eastAsia" w:ascii="仿宋_GB2312" w:hAnsi="仿宋_GB2312" w:eastAsia="仿宋_GB2312" w:cs="仿宋_GB2312"/>
          <w:sz w:val="32"/>
          <w:szCs w:val="32"/>
          <w:lang w:val="en-US" w:eastAsia="zh-CN"/>
        </w:rPr>
        <w:t>相应的</w:t>
      </w:r>
      <w:r>
        <w:rPr>
          <w:rFonts w:hint="eastAsia" w:ascii="仿宋_GB2312" w:hAnsi="仿宋_GB2312" w:eastAsia="仿宋_GB2312" w:cs="仿宋_GB2312"/>
          <w:sz w:val="32"/>
          <w:szCs w:val="32"/>
          <w:lang w:eastAsia="zh-CN"/>
        </w:rPr>
        <w:t>科研机构，原始创新能力几乎为零。大部分企业仍处于技术模仿和应用阶段，缺乏前沿技术布局和引领产业变革的颠覆性创新能力。科技创新链上下游衔接不畅，从基础研究到成果转化</w:t>
      </w:r>
      <w:r>
        <w:rPr>
          <w:rFonts w:hint="eastAsia" w:ascii="仿宋_GB2312" w:hAnsi="仿宋_GB2312" w:eastAsia="仿宋_GB2312" w:cs="仿宋_GB2312"/>
          <w:sz w:val="32"/>
          <w:szCs w:val="32"/>
          <w:lang w:val="en-US" w:eastAsia="zh-CN"/>
        </w:rPr>
        <w:t>尚未形成体系</w:t>
      </w:r>
      <w:r>
        <w:rPr>
          <w:rFonts w:hint="eastAsia" w:ascii="仿宋_GB2312" w:hAnsi="仿宋_GB2312" w:eastAsia="仿宋_GB2312" w:cs="仿宋_GB2312"/>
          <w:sz w:val="32"/>
          <w:szCs w:val="32"/>
          <w:lang w:eastAsia="zh-CN"/>
        </w:rPr>
        <w:t>。</w:t>
      </w:r>
    </w:p>
    <w:p w14:paraId="1C5600E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2.高端创新人才极度匮乏：</w:t>
      </w:r>
      <w:r>
        <w:rPr>
          <w:rFonts w:hint="eastAsia" w:ascii="仿宋_GB2312" w:hAnsi="仿宋_GB2312" w:eastAsia="仿宋_GB2312" w:cs="仿宋_GB2312"/>
          <w:sz w:val="32"/>
          <w:szCs w:val="32"/>
          <w:lang w:val="en-US" w:eastAsia="zh-CN"/>
        </w:rPr>
        <w:t>缺乏</w:t>
      </w:r>
      <w:r>
        <w:rPr>
          <w:rFonts w:hint="eastAsia" w:ascii="仿宋_GB2312" w:hAnsi="仿宋_GB2312" w:eastAsia="仿宋_GB2312" w:cs="仿宋_GB2312"/>
          <w:sz w:val="32"/>
          <w:szCs w:val="32"/>
          <w:lang w:eastAsia="zh-CN"/>
        </w:rPr>
        <w:t>吸引和留住顶尖科学家、科技领军人才、高水平创新团队的</w:t>
      </w:r>
      <w:r>
        <w:rPr>
          <w:rFonts w:hint="eastAsia" w:ascii="仿宋_GB2312" w:hAnsi="仿宋_GB2312" w:eastAsia="仿宋_GB2312" w:cs="仿宋_GB2312"/>
          <w:sz w:val="32"/>
          <w:szCs w:val="32"/>
          <w:lang w:val="en-US" w:eastAsia="zh-CN"/>
        </w:rPr>
        <w:t>优惠政策，县域科技创新能力，</w:t>
      </w:r>
      <w:r>
        <w:rPr>
          <w:rFonts w:hint="eastAsia" w:ascii="仿宋_GB2312" w:hAnsi="仿宋_GB2312" w:eastAsia="仿宋_GB2312" w:cs="仿宋_GB2312"/>
          <w:sz w:val="32"/>
          <w:szCs w:val="32"/>
          <w:lang w:eastAsia="zh-CN"/>
        </w:rPr>
        <w:t>竞争力严重不足。人才队伍结构性问题突出，战略科学家、卓越工程师、高技能人才</w:t>
      </w:r>
      <w:r>
        <w:rPr>
          <w:rFonts w:hint="eastAsia" w:ascii="仿宋_GB2312" w:hAnsi="仿宋_GB2312" w:eastAsia="仿宋_GB2312" w:cs="仿宋_GB2312"/>
          <w:sz w:val="32"/>
          <w:szCs w:val="32"/>
          <w:lang w:val="en-US" w:eastAsia="zh-CN"/>
        </w:rPr>
        <w:t>完全缺失</w:t>
      </w:r>
      <w:r>
        <w:rPr>
          <w:rFonts w:hint="eastAsia" w:ascii="仿宋_GB2312" w:hAnsi="仿宋_GB2312" w:eastAsia="仿宋_GB2312" w:cs="仿宋_GB2312"/>
          <w:sz w:val="32"/>
          <w:szCs w:val="32"/>
          <w:lang w:eastAsia="zh-CN"/>
        </w:rPr>
        <w:t>。人才发展体制机制障碍依然存在，</w:t>
      </w:r>
      <w:r>
        <w:rPr>
          <w:rFonts w:hint="eastAsia" w:ascii="仿宋_GB2312" w:hAnsi="仿宋_GB2312" w:eastAsia="仿宋_GB2312" w:cs="仿宋_GB2312"/>
          <w:sz w:val="32"/>
          <w:szCs w:val="32"/>
          <w:lang w:val="en-US" w:eastAsia="zh-CN"/>
        </w:rPr>
        <w:t>缺少</w:t>
      </w:r>
      <w:r>
        <w:rPr>
          <w:rFonts w:hint="eastAsia" w:ascii="仿宋_GB2312" w:hAnsi="仿宋_GB2312" w:eastAsia="仿宋_GB2312" w:cs="仿宋_GB2312"/>
          <w:sz w:val="32"/>
          <w:szCs w:val="32"/>
          <w:lang w:eastAsia="zh-CN"/>
        </w:rPr>
        <w:t>评价标准、激励政策等问题仍较突出。</w:t>
      </w:r>
    </w:p>
    <w:p w14:paraId="1C9633B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3.科技投入强度明显不足：</w:t>
      </w:r>
      <w:r>
        <w:rPr>
          <w:rFonts w:hint="eastAsia" w:ascii="仿宋_GB2312" w:hAnsi="仿宋_GB2312" w:eastAsia="仿宋_GB2312" w:cs="仿宋_GB2312"/>
          <w:sz w:val="32"/>
          <w:szCs w:val="32"/>
          <w:lang w:eastAsia="zh-CN"/>
        </w:rPr>
        <w:t>全社会研发经费投入（R&amp;D）占GDP比重远低于全国和全疆平均水平，财政科技投入的稳定增长机制有待进一步强化。企业作为创新主体的投入意愿和能力仍有待激发，风险投资、科技信贷等社会资本投入科技创新尚未</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lang w:eastAsia="zh-CN"/>
        </w:rPr>
        <w:t>。</w:t>
      </w:r>
    </w:p>
    <w:p w14:paraId="1310DF8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4.创新生态体系尚不成熟：</w:t>
      </w:r>
      <w:r>
        <w:rPr>
          <w:rFonts w:hint="eastAsia" w:ascii="仿宋_GB2312" w:hAnsi="仿宋_GB2312" w:eastAsia="仿宋_GB2312" w:cs="仿宋_GB2312"/>
          <w:sz w:val="32"/>
          <w:szCs w:val="32"/>
          <w:lang w:eastAsia="zh-CN"/>
        </w:rPr>
        <w:t>科技与经济深度融合的机制还不完善，</w:t>
      </w:r>
      <w:r>
        <w:rPr>
          <w:rFonts w:hint="eastAsia" w:ascii="仿宋_GB2312" w:hAnsi="仿宋_GB2312" w:eastAsia="仿宋_GB2312" w:cs="仿宋_GB2312"/>
          <w:sz w:val="32"/>
          <w:szCs w:val="32"/>
          <w:lang w:val="en-US" w:eastAsia="zh-CN"/>
        </w:rPr>
        <w:t>缺乏产出科技成果的机构和平台，缺乏可转化的科技成果，引进</w:t>
      </w:r>
      <w:r>
        <w:rPr>
          <w:rFonts w:hint="eastAsia" w:ascii="仿宋_GB2312" w:hAnsi="仿宋_GB2312" w:eastAsia="仿宋_GB2312" w:cs="仿宋_GB2312"/>
          <w:sz w:val="32"/>
          <w:szCs w:val="32"/>
          <w:lang w:eastAsia="zh-CN"/>
        </w:rPr>
        <w:t>科技成果转移转化的“最后一公里”瓶颈突出。科技金融服务体系不健全，知识产权保护、运用和服务的水平有待提高。</w:t>
      </w:r>
      <w:r>
        <w:rPr>
          <w:rFonts w:hint="eastAsia" w:ascii="仿宋_GB2312" w:hAnsi="仿宋_GB2312" w:eastAsia="仿宋_GB2312" w:cs="仿宋_GB2312"/>
          <w:sz w:val="32"/>
          <w:szCs w:val="32"/>
          <w:lang w:val="en-US" w:eastAsia="zh-CN"/>
        </w:rPr>
        <w:t>正面直视科研规律，</w:t>
      </w:r>
      <w:r>
        <w:rPr>
          <w:rFonts w:hint="eastAsia" w:ascii="仿宋_GB2312" w:hAnsi="仿宋_GB2312" w:eastAsia="仿宋_GB2312" w:cs="仿宋_GB2312"/>
          <w:sz w:val="32"/>
          <w:szCs w:val="32"/>
          <w:lang w:eastAsia="zh-CN"/>
        </w:rPr>
        <w:t>鼓励创新、宽容失败的</w:t>
      </w:r>
      <w:r>
        <w:rPr>
          <w:rFonts w:hint="eastAsia" w:ascii="仿宋_GB2312" w:hAnsi="仿宋_GB2312" w:eastAsia="仿宋_GB2312" w:cs="仿宋_GB2312"/>
          <w:sz w:val="32"/>
          <w:szCs w:val="32"/>
          <w:lang w:val="en-US" w:eastAsia="zh-CN"/>
        </w:rPr>
        <w:t>创新</w:t>
      </w:r>
      <w:r>
        <w:rPr>
          <w:rFonts w:hint="eastAsia" w:ascii="仿宋_GB2312" w:hAnsi="仿宋_GB2312" w:eastAsia="仿宋_GB2312" w:cs="仿宋_GB2312"/>
          <w:sz w:val="32"/>
          <w:szCs w:val="32"/>
          <w:lang w:eastAsia="zh-CN"/>
        </w:rPr>
        <w:t>氛围</w:t>
      </w:r>
      <w:r>
        <w:rPr>
          <w:rFonts w:hint="eastAsia" w:ascii="仿宋_GB2312" w:hAnsi="仿宋_GB2312" w:eastAsia="仿宋_GB2312" w:cs="仿宋_GB2312"/>
          <w:sz w:val="32"/>
          <w:szCs w:val="32"/>
          <w:lang w:val="en-US" w:eastAsia="zh-CN"/>
        </w:rPr>
        <w:t>尚未形成</w:t>
      </w:r>
      <w:r>
        <w:rPr>
          <w:rFonts w:hint="eastAsia" w:ascii="仿宋_GB2312" w:hAnsi="仿宋_GB2312" w:eastAsia="仿宋_GB2312" w:cs="仿宋_GB2312"/>
          <w:sz w:val="32"/>
          <w:szCs w:val="32"/>
          <w:lang w:eastAsia="zh-CN"/>
        </w:rPr>
        <w:t>。</w:t>
      </w:r>
    </w:p>
    <w:p w14:paraId="3A61700D">
      <w:pPr>
        <w:pStyle w:val="4"/>
        <w:bidi w:val="0"/>
        <w:ind w:firstLine="600" w:firstLineChars="200"/>
        <w:rPr>
          <w:rFonts w:hint="eastAsia"/>
          <w:lang w:val="en-US" w:eastAsia="zh-CN"/>
        </w:rPr>
      </w:pPr>
      <w:bookmarkStart w:id="8" w:name="_Toc32261"/>
      <w:bookmarkStart w:id="9" w:name="_Toc26240"/>
      <w:r>
        <w:rPr>
          <w:rFonts w:hint="eastAsia"/>
          <w:lang w:val="en-US" w:eastAsia="zh-CN"/>
        </w:rPr>
        <w:t>（三）“十五五”时期面临的新形势与新要求</w:t>
      </w:r>
      <w:bookmarkEnd w:id="8"/>
      <w:bookmarkEnd w:id="9"/>
    </w:p>
    <w:p w14:paraId="0D6A99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“十五五”时期，皮山县科技创新发展面临的内外环境发生深刻复杂变化，机遇与挑战并存，但机遇大于挑战。</w:t>
      </w:r>
    </w:p>
    <w:p w14:paraId="043E8F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从国际国内看，世界百年未有之大变局加速演进，科技创新成为大国竞争的战略焦点。我国构建新发展格局，对加快科技自立自强、提升产业链供应链韧性和安全水平提出了前所未有的迫切要求。国家推进西部大开发形成新格局、科技援疆、乡村振兴等重大战略叠加效应持续释放，为皮山承接产业转移、集聚创新资源提供了重大机遇。</w:t>
      </w:r>
    </w:p>
    <w:p w14:paraId="0EEDCA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从自治区内看，新疆社会大局持续稳定，高质量发展进入新阶段，丝绸之路经济带核心区建设迈向高水平，对科技创新的需求极其旺盛。自治区党委和政府高度重视科技创新，出台了一系列重磅政策，推动创新资源向基层、向南疆倾斜，为皮山补齐创新短板创造了有利条件。</w:t>
      </w:r>
    </w:p>
    <w:p w14:paraId="4E0890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从自身发展看，皮山县正处于转型升级、爬坡过坎的关键时期。传统优势产业亟待通过技术改造提升竞争力，新兴产业发展急需科技孵化培育。人民群众对美好生活的向往，在健康、环境、安全等方面提出了更高要求，迫切需要科技创新提供更多高质量的解决方案。应对人口、资源、环境压力，实现绿色低碳发展，比以往任何时候都更加依靠科技创新。</w:t>
      </w:r>
    </w:p>
    <w:p w14:paraId="2F8B9F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综合判断，“十五五”时期是皮山县科技创新跨越发展的关键五年，必须增强机遇意识和风险意识，准确识变、科学应变、主动求变，以更大的决心和力度推动科技创新，在新征程中赢得主动、赢得优势、赢得未来。</w:t>
      </w:r>
    </w:p>
    <w:p w14:paraId="07CCBAFC">
      <w:pPr>
        <w:pStyle w:val="3"/>
        <w:bidi w:val="0"/>
        <w:ind w:firstLine="640" w:firstLineChars="200"/>
        <w:rPr>
          <w:rFonts w:hint="eastAsia"/>
          <w:lang w:val="en-US" w:eastAsia="zh-CN"/>
        </w:rPr>
      </w:pPr>
      <w:bookmarkStart w:id="10" w:name="_Toc32187"/>
      <w:bookmarkStart w:id="11" w:name="_Toc775"/>
      <w:r>
        <w:rPr>
          <w:rFonts w:hint="eastAsia"/>
          <w:lang w:val="en-US" w:eastAsia="zh-CN"/>
        </w:rPr>
        <w:t>二、指导思想、基本原则与发展目标</w:t>
      </w:r>
      <w:bookmarkEnd w:id="10"/>
      <w:bookmarkEnd w:id="11"/>
    </w:p>
    <w:p w14:paraId="5634D917">
      <w:pPr>
        <w:pStyle w:val="4"/>
        <w:bidi w:val="0"/>
        <w:ind w:firstLine="600" w:firstLineChars="200"/>
        <w:rPr>
          <w:rFonts w:hint="eastAsia"/>
          <w:lang w:val="en-US" w:eastAsia="zh-CN"/>
        </w:rPr>
      </w:pPr>
      <w:bookmarkStart w:id="12" w:name="_Toc8618"/>
      <w:bookmarkStart w:id="13" w:name="_Toc28809"/>
      <w:r>
        <w:rPr>
          <w:rFonts w:hint="eastAsia"/>
          <w:lang w:val="en-US" w:eastAsia="zh-CN"/>
        </w:rPr>
        <w:t>（一）指导思想</w:t>
      </w:r>
      <w:bookmarkEnd w:id="12"/>
      <w:bookmarkEnd w:id="13"/>
    </w:p>
    <w:p w14:paraId="052AF3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高举中国特色社会主义伟大旗帜，坚持以马克思列宁主义、毛泽东思想、邓小平理论、“三个代表”重要思想、科学发展观、习近平新时代中国特色社会主义思想为指导，全面贯彻党的二十大和二十届历次全会精神，深入贯彻落实第三次中央新疆工作座谈会精神和新时代党的治疆方略，牢牢扭住社会稳定和长治久安总目标。</w:t>
      </w:r>
    </w:p>
    <w:p w14:paraId="56D065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坚持创新在我国现代化建设全局中的核心地位，把科技自立自强作为皮山县发展的战略支撑。立足新发展阶段，完整、准确、全面贯彻新发展理念，积极服务和融入新发展格局。以推动高质量发展为主题，以深化供给侧结构性改革为主线，以改革创新为根本动力。</w:t>
      </w:r>
    </w:p>
    <w:p w14:paraId="2FF791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聚焦皮山县经济社会发展重大需求，坚持“四个面向”（面向世界科技前沿、面向经济主战场、面向国家重大需求、面向人民生命健康），实施创新驱动发展战略和人才强县战略。以提升区域创新能力为核心，以强化企业创新主体地位为重点，以深化科技体制改革和开放合作为动力，以汇聚创新人才为根本，着力构建富有特色的区域创新体系，为加快建设经济强、百姓富、生态美的现代化皮山提供强劲的科技引擎。</w:t>
      </w:r>
    </w:p>
    <w:p w14:paraId="0C403C01">
      <w:pPr>
        <w:pStyle w:val="4"/>
        <w:bidi w:val="0"/>
        <w:ind w:firstLine="600" w:firstLineChars="200"/>
        <w:rPr>
          <w:rFonts w:hint="eastAsia"/>
          <w:lang w:val="en-US" w:eastAsia="zh-CN"/>
        </w:rPr>
      </w:pPr>
      <w:bookmarkStart w:id="14" w:name="_Toc22028"/>
      <w:bookmarkStart w:id="15" w:name="_Toc9279"/>
      <w:r>
        <w:rPr>
          <w:rFonts w:hint="eastAsia"/>
          <w:lang w:val="en-US" w:eastAsia="zh-CN"/>
        </w:rPr>
        <w:t>（二）基本原则</w:t>
      </w:r>
      <w:bookmarkEnd w:id="14"/>
      <w:bookmarkEnd w:id="15"/>
    </w:p>
    <w:p w14:paraId="27ED0BC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1.坚持党的全面领导，把准创新方向。</w:t>
      </w:r>
      <w:r>
        <w:rPr>
          <w:rFonts w:hint="eastAsia" w:ascii="仿宋_GB2312" w:hAnsi="仿宋_GB2312" w:eastAsia="仿宋_GB2312" w:cs="仿宋_GB2312"/>
          <w:sz w:val="32"/>
          <w:szCs w:val="32"/>
          <w:lang w:eastAsia="zh-CN"/>
        </w:rPr>
        <w:t>健全党对科技工作的领导体制，确保科技创新始终沿着正确政治方向前进。将党的政治优势、组织优势转化为科技创新的发展优势、制胜优势。</w:t>
      </w:r>
    </w:p>
    <w:p w14:paraId="4D5EF05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2.坚持自立自强与开放合作相结合。</w:t>
      </w:r>
      <w:r>
        <w:rPr>
          <w:rFonts w:hint="eastAsia" w:ascii="仿宋_GB2312" w:hAnsi="仿宋_GB2312" w:eastAsia="仿宋_GB2312" w:cs="仿宋_GB2312"/>
          <w:sz w:val="32"/>
          <w:szCs w:val="32"/>
          <w:lang w:eastAsia="zh-CN"/>
        </w:rPr>
        <w:t>既要聚焦县域发展瓶颈，集中力量在特色优势领域实现关键技术自主可控；又要以更加开放的姿态融入全球全国创新网络，充分利用国际国内两种资源，在开放合作中提升自身创新能力。</w:t>
      </w:r>
    </w:p>
    <w:p w14:paraId="23CB47D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3.坚持市场主导与政府引导相结合。</w:t>
      </w:r>
      <w:r>
        <w:rPr>
          <w:rFonts w:hint="eastAsia" w:ascii="仿宋_GB2312" w:hAnsi="仿宋_GB2312" w:eastAsia="仿宋_GB2312" w:cs="仿宋_GB2312"/>
          <w:sz w:val="32"/>
          <w:szCs w:val="32"/>
          <w:lang w:eastAsia="zh-CN"/>
        </w:rPr>
        <w:t>充分发挥市场在资源配置中的决定性作用，强化企业科技创新主体地位。更好发挥政府在战略规划、政策制定、环境营造、公共服务等方面的引导作用，弥补市场失灵。</w:t>
      </w:r>
    </w:p>
    <w:p w14:paraId="4C2FA19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4.坚持问题导向与前瞻布局相结合。</w:t>
      </w:r>
      <w:r>
        <w:rPr>
          <w:rFonts w:hint="eastAsia" w:ascii="仿宋_GB2312" w:hAnsi="仿宋_GB2312" w:eastAsia="仿宋_GB2312" w:cs="仿宋_GB2312"/>
          <w:sz w:val="32"/>
          <w:szCs w:val="32"/>
          <w:lang w:eastAsia="zh-CN"/>
        </w:rPr>
        <w:t>紧紧围绕乡村振兴、产业发展、民生改善等紧迫需求，部署科技攻关任务。同时，着眼长远，适度超前布局前沿技术和未来产业，培育发展新动能。</w:t>
      </w:r>
    </w:p>
    <w:p w14:paraId="787CF9B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5.坚持特色发展与协同联动相结合。</w:t>
      </w:r>
      <w:r>
        <w:rPr>
          <w:rFonts w:hint="eastAsia" w:ascii="仿宋_GB2312" w:hAnsi="仿宋_GB2312" w:eastAsia="仿宋_GB2312" w:cs="仿宋_GB2312"/>
          <w:sz w:val="32"/>
          <w:szCs w:val="32"/>
          <w:lang w:eastAsia="zh-CN"/>
        </w:rPr>
        <w:t>立足皮山资源禀赋和产业基础，走差异化、特色化创新之路。强化与援疆省市、兵团、高校院所及周边县市的协同创新，构建错位发展、联动支撑的区域创新格局。</w:t>
      </w:r>
    </w:p>
    <w:p w14:paraId="3A5D06C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rPr>
      </w:pPr>
      <w:r>
        <w:rPr>
          <w:rFonts w:hint="eastAsia" w:ascii="仿宋_GB2312" w:hAnsi="仿宋_GB2312" w:eastAsia="仿宋_GB2312" w:cs="仿宋_GB2312"/>
          <w:b/>
          <w:bCs/>
          <w:sz w:val="32"/>
          <w:szCs w:val="32"/>
          <w:lang w:eastAsia="zh-CN"/>
        </w:rPr>
        <w:t>6.坚持以人为本，激发人才活力。</w:t>
      </w:r>
      <w:r>
        <w:rPr>
          <w:rFonts w:hint="eastAsia" w:ascii="仿宋_GB2312" w:hAnsi="仿宋_GB2312" w:eastAsia="仿宋_GB2312" w:cs="仿宋_GB2312"/>
          <w:sz w:val="32"/>
          <w:szCs w:val="32"/>
          <w:lang w:eastAsia="zh-CN"/>
        </w:rPr>
        <w:t>把人才资源开发放在最优先位置，在创新实践中发现人才、在创新活动中培育人才、在创新事业中凝聚人才。营造尊重人才、求贤若渴的社会环境，公正平等、竞争择优的制度环境，待遇适当、保障有力的生活环境。</w:t>
      </w:r>
    </w:p>
    <w:p w14:paraId="07E02843">
      <w:pPr>
        <w:pStyle w:val="4"/>
        <w:bidi w:val="0"/>
        <w:ind w:firstLine="600" w:firstLineChars="200"/>
        <w:rPr>
          <w:rFonts w:hint="eastAsia"/>
          <w:lang w:val="en-US" w:eastAsia="zh-CN"/>
        </w:rPr>
      </w:pPr>
      <w:bookmarkStart w:id="16" w:name="_Toc306"/>
      <w:bookmarkStart w:id="17" w:name="_Toc32490"/>
      <w:r>
        <w:rPr>
          <w:rFonts w:hint="eastAsia"/>
          <w:lang w:val="en-US" w:eastAsia="zh-CN"/>
        </w:rPr>
        <w:t>（三）发展目标</w:t>
      </w:r>
      <w:bookmarkEnd w:id="16"/>
      <w:bookmarkEnd w:id="17"/>
    </w:p>
    <w:p w14:paraId="6F79B0E5">
      <w:pPr>
        <w:pStyle w:val="5"/>
        <w:bidi w:val="0"/>
        <w:ind w:firstLine="560" w:firstLineChars="200"/>
        <w:rPr>
          <w:rFonts w:hint="eastAsia"/>
          <w:lang w:eastAsia="zh-CN"/>
        </w:rPr>
      </w:pPr>
      <w:bookmarkStart w:id="18" w:name="_Toc31569"/>
      <w:bookmarkStart w:id="19" w:name="_Toc32498"/>
      <w:r>
        <w:rPr>
          <w:rFonts w:hint="eastAsia"/>
          <w:lang w:eastAsia="zh-CN"/>
        </w:rPr>
        <w:t>1.总体目标</w:t>
      </w:r>
      <w:bookmarkEnd w:id="18"/>
      <w:bookmarkEnd w:id="19"/>
    </w:p>
    <w:p w14:paraId="0649C0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到2030年，建成与皮山县经济社会发展需求相匹配、特色鲜明、充满活力的区域创新体系。科技创新综合实力和整体效能显著提升，在自治区创新格局中的战略位势明显增强，成功跻身南疆创新型县市行列，成为支撑和田地区高质量发展的重要创新节点。科技创新成为驱动经济增长、保持社会稳定、引领绿色发展的核心力量。</w:t>
      </w:r>
    </w:p>
    <w:p w14:paraId="192CA6D7">
      <w:pPr>
        <w:pStyle w:val="5"/>
        <w:bidi w:val="0"/>
        <w:ind w:firstLine="560" w:firstLineChars="200"/>
        <w:rPr>
          <w:rFonts w:hint="eastAsia"/>
          <w:lang w:eastAsia="zh-CN"/>
        </w:rPr>
      </w:pPr>
      <w:bookmarkStart w:id="20" w:name="_Toc23793"/>
      <w:bookmarkStart w:id="21" w:name="_Toc14962"/>
      <w:r>
        <w:rPr>
          <w:rFonts w:hint="eastAsia"/>
          <w:lang w:eastAsia="zh-CN"/>
        </w:rPr>
        <w:t>2.具体目标</w:t>
      </w:r>
      <w:bookmarkEnd w:id="20"/>
      <w:bookmarkEnd w:id="21"/>
    </w:p>
    <w:p w14:paraId="1C7482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创新投入目标：</w:t>
      </w:r>
      <w:r>
        <w:rPr>
          <w:rFonts w:hint="eastAsia" w:ascii="仿宋_GB2312" w:hAnsi="仿宋_GB2312" w:eastAsia="仿宋_GB2312" w:cs="仿宋_GB2312"/>
          <w:sz w:val="32"/>
          <w:szCs w:val="32"/>
          <w:lang w:eastAsia="zh-CN"/>
        </w:rPr>
        <w:t>全社会研发经费投入（R&amp;D）年均增速显著高于GDP增速，投入强度（R&amp;D/GDP）力争达到0.8%，接近南疆地区平均水平。地方财政科技支出占公共财政支出比重持续提高。基础研究和应用基础研究投入实现零的突破。</w:t>
      </w:r>
    </w:p>
    <w:p w14:paraId="07844B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创新主体目标：</w:t>
      </w:r>
      <w:r>
        <w:rPr>
          <w:rFonts w:hint="eastAsia" w:ascii="仿宋_GB2312" w:hAnsi="仿宋_GB2312" w:eastAsia="仿宋_GB2312" w:cs="仿宋_GB2312"/>
          <w:sz w:val="32"/>
          <w:szCs w:val="32"/>
          <w:lang w:eastAsia="zh-CN"/>
        </w:rPr>
        <w:t>国家高新技术企业数量达到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家以上，自治区级科技型中小企业达到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家以上。培育</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家在细分市场具有核心竞争力的“隐形冠军”和“专精特新”中小企业。规模以上工业企业中有研发活动企业占比达到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w:t>
      </w:r>
    </w:p>
    <w:p w14:paraId="3011B0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创新产出目标：</w:t>
      </w:r>
      <w:r>
        <w:rPr>
          <w:rFonts w:hint="eastAsia" w:ascii="仿宋_GB2312" w:hAnsi="仿宋_GB2312" w:eastAsia="仿宋_GB2312" w:cs="仿宋_GB2312"/>
          <w:sz w:val="32"/>
          <w:szCs w:val="32"/>
          <w:lang w:eastAsia="zh-CN"/>
        </w:rPr>
        <w:t>每万人口高价值发明专利拥有量达到0.</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lang w:eastAsia="zh-CN"/>
        </w:rPr>
        <w:t>件。技术合同成交额年均</w:t>
      </w:r>
      <w:r>
        <w:rPr>
          <w:rFonts w:hint="eastAsia" w:ascii="仿宋_GB2312" w:hAnsi="仿宋_GB2312" w:eastAsia="仿宋_GB2312" w:cs="仿宋_GB2312"/>
          <w:sz w:val="32"/>
          <w:szCs w:val="32"/>
          <w:lang w:val="en-US" w:eastAsia="zh-CN"/>
        </w:rPr>
        <w:t>呈</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趋势</w:t>
      </w:r>
      <w:r>
        <w:rPr>
          <w:rFonts w:hint="eastAsia" w:ascii="仿宋_GB2312" w:hAnsi="仿宋_GB2312" w:eastAsia="仿宋_GB2312" w:cs="仿宋_GB2312"/>
          <w:sz w:val="32"/>
          <w:szCs w:val="32"/>
          <w:lang w:eastAsia="zh-CN"/>
        </w:rPr>
        <w:t>。突破产业关键核心技术</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项以上，形成具有自主知识产权的新产品、新工艺、新材料</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个以上。</w:t>
      </w:r>
    </w:p>
    <w:p w14:paraId="56D1A8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人才队伍目标：</w:t>
      </w:r>
      <w:r>
        <w:rPr>
          <w:rFonts w:hint="eastAsia" w:ascii="仿宋_GB2312" w:hAnsi="仿宋_GB2312" w:eastAsia="仿宋_GB2312" w:cs="仿宋_GB2312"/>
          <w:sz w:val="32"/>
          <w:szCs w:val="32"/>
          <w:lang w:eastAsia="zh-CN"/>
        </w:rPr>
        <w:t>引进和培育</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个高层次科技创新团队（其中领军型团队</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个）。全县科技特派员队伍稳定在</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人/年以上。累计培训高素质农民、农村实用人才、技能人才6000人次以上。公民具备科学素质的比例超过16%。</w:t>
      </w:r>
    </w:p>
    <w:p w14:paraId="1F57E8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产业升级目标：</w:t>
      </w:r>
      <w:r>
        <w:rPr>
          <w:rFonts w:hint="eastAsia" w:ascii="仿宋_GB2312" w:hAnsi="仿宋_GB2312" w:eastAsia="仿宋_GB2312" w:cs="仿宋_GB2312"/>
          <w:sz w:val="32"/>
          <w:szCs w:val="32"/>
          <w:lang w:eastAsia="zh-CN"/>
        </w:rPr>
        <w:t>农业科技进步贡献率达到</w:t>
      </w:r>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sz w:val="32"/>
          <w:szCs w:val="32"/>
          <w:lang w:eastAsia="zh-CN"/>
        </w:rPr>
        <w:t>%以上。数字经济核心产业增加值占GDP比重显著提升。科技对经济增长的贡献率大幅提高，现代化产业体系的科技根基更加牢固。</w:t>
      </w:r>
    </w:p>
    <w:p w14:paraId="4B1DB9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(表)皮山县“十五五”科技创新发展主要指标表</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0"/>
        <w:gridCol w:w="1342"/>
        <w:gridCol w:w="1364"/>
        <w:gridCol w:w="966"/>
      </w:tblGrid>
      <w:tr w14:paraId="6ED9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2F8EAE92">
            <w:pPr>
              <w:pStyle w:val="11"/>
              <w:jc w:val="center"/>
              <w:rPr>
                <w:rFonts w:hint="eastAsia"/>
                <w:vertAlign w:val="baseline"/>
              </w:rPr>
            </w:pPr>
            <w:r>
              <w:rPr>
                <w:rFonts w:hint="eastAsia"/>
                <w:vertAlign w:val="baseline"/>
              </w:rPr>
              <w:t>指标名称</w:t>
            </w:r>
          </w:p>
        </w:tc>
        <w:tc>
          <w:tcPr>
            <w:tcW w:w="1342" w:type="dxa"/>
          </w:tcPr>
          <w:p w14:paraId="07B1408C">
            <w:pPr>
              <w:pStyle w:val="11"/>
              <w:jc w:val="center"/>
              <w:rPr>
                <w:rFonts w:hint="eastAsia"/>
                <w:vertAlign w:val="baseline"/>
              </w:rPr>
            </w:pPr>
            <w:r>
              <w:rPr>
                <w:rFonts w:hint="eastAsia"/>
                <w:vertAlign w:val="baseline"/>
              </w:rPr>
              <w:t>2025年</w:t>
            </w:r>
          </w:p>
          <w:p w14:paraId="45FE87FF">
            <w:pPr>
              <w:pStyle w:val="11"/>
              <w:ind w:left="0" w:leftChars="0" w:firstLine="0" w:firstLineChars="0"/>
              <w:jc w:val="both"/>
              <w:rPr>
                <w:rFonts w:hint="eastAsia"/>
                <w:vertAlign w:val="baseline"/>
              </w:rPr>
            </w:pPr>
            <w:r>
              <w:rPr>
                <w:rFonts w:hint="eastAsia"/>
                <w:vertAlign w:val="baseline"/>
              </w:rPr>
              <w:t>（基期值）</w:t>
            </w:r>
          </w:p>
        </w:tc>
        <w:tc>
          <w:tcPr>
            <w:tcW w:w="1364" w:type="dxa"/>
          </w:tcPr>
          <w:p w14:paraId="6399D278">
            <w:pPr>
              <w:pStyle w:val="11"/>
              <w:jc w:val="center"/>
              <w:rPr>
                <w:rFonts w:hint="eastAsia"/>
                <w:vertAlign w:val="baseline"/>
              </w:rPr>
            </w:pPr>
            <w:r>
              <w:rPr>
                <w:rFonts w:hint="eastAsia"/>
                <w:vertAlign w:val="baseline"/>
              </w:rPr>
              <w:t>2030年</w:t>
            </w:r>
          </w:p>
          <w:p w14:paraId="43FC1C0D">
            <w:pPr>
              <w:pStyle w:val="11"/>
              <w:jc w:val="center"/>
              <w:rPr>
                <w:rFonts w:hint="eastAsia"/>
                <w:vertAlign w:val="baseline"/>
              </w:rPr>
            </w:pPr>
            <w:r>
              <w:rPr>
                <w:rFonts w:hint="eastAsia"/>
                <w:vertAlign w:val="baseline"/>
              </w:rPr>
              <w:t>（目标值）</w:t>
            </w:r>
          </w:p>
        </w:tc>
        <w:tc>
          <w:tcPr>
            <w:tcW w:w="966" w:type="dxa"/>
          </w:tcPr>
          <w:p w14:paraId="6A8D2CD5">
            <w:pPr>
              <w:pStyle w:val="11"/>
              <w:jc w:val="center"/>
              <w:rPr>
                <w:rFonts w:hint="eastAsia"/>
                <w:vertAlign w:val="baseline"/>
              </w:rPr>
            </w:pPr>
            <w:r>
              <w:rPr>
                <w:rFonts w:hint="eastAsia"/>
                <w:vertAlign w:val="baseline"/>
              </w:rPr>
              <w:t>属性</w:t>
            </w:r>
          </w:p>
        </w:tc>
      </w:tr>
      <w:tr w14:paraId="0AD9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0E9B7169">
            <w:pPr>
              <w:pStyle w:val="11"/>
              <w:jc w:val="center"/>
              <w:rPr>
                <w:rFonts w:hint="eastAsia"/>
                <w:vertAlign w:val="baseline"/>
              </w:rPr>
            </w:pPr>
            <w:r>
              <w:rPr>
                <w:rFonts w:hint="eastAsia"/>
                <w:vertAlign w:val="baseline"/>
              </w:rPr>
              <w:t>全社会R&amp;D经费投入占GDP比重（%）</w:t>
            </w:r>
          </w:p>
        </w:tc>
        <w:tc>
          <w:tcPr>
            <w:tcW w:w="1342" w:type="dxa"/>
          </w:tcPr>
          <w:p w14:paraId="3C42B952">
            <w:pPr>
              <w:pStyle w:val="11"/>
              <w:jc w:val="center"/>
              <w:rPr>
                <w:rFonts w:hint="eastAsia"/>
                <w:vertAlign w:val="baseline"/>
              </w:rPr>
            </w:pPr>
            <w:r>
              <w:rPr>
                <w:rFonts w:hint="eastAsia"/>
                <w:vertAlign w:val="baseline"/>
              </w:rPr>
              <w:t>约0.3%</w:t>
            </w:r>
          </w:p>
        </w:tc>
        <w:tc>
          <w:tcPr>
            <w:tcW w:w="1364" w:type="dxa"/>
          </w:tcPr>
          <w:p w14:paraId="5FD3E06E">
            <w:pPr>
              <w:pStyle w:val="11"/>
              <w:jc w:val="center"/>
              <w:rPr>
                <w:rFonts w:hint="eastAsia"/>
                <w:vertAlign w:val="baseline"/>
              </w:rPr>
            </w:pPr>
            <w:r>
              <w:rPr>
                <w:rFonts w:hint="eastAsia"/>
                <w:vertAlign w:val="baseline"/>
              </w:rPr>
              <w:t>≥0.8%</w:t>
            </w:r>
          </w:p>
        </w:tc>
        <w:tc>
          <w:tcPr>
            <w:tcW w:w="966" w:type="dxa"/>
          </w:tcPr>
          <w:p w14:paraId="2609E471">
            <w:pPr>
              <w:pStyle w:val="11"/>
              <w:jc w:val="center"/>
              <w:rPr>
                <w:rFonts w:hint="eastAsia"/>
                <w:vertAlign w:val="baseline"/>
              </w:rPr>
            </w:pPr>
            <w:r>
              <w:rPr>
                <w:rFonts w:hint="eastAsia"/>
                <w:vertAlign w:val="baseline"/>
              </w:rPr>
              <w:t>预期性</w:t>
            </w:r>
          </w:p>
        </w:tc>
      </w:tr>
      <w:tr w14:paraId="37FD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5366E0DD">
            <w:pPr>
              <w:pStyle w:val="11"/>
              <w:jc w:val="center"/>
              <w:rPr>
                <w:rFonts w:hint="eastAsia"/>
                <w:vertAlign w:val="baseline"/>
              </w:rPr>
            </w:pPr>
            <w:r>
              <w:rPr>
                <w:rFonts w:hint="eastAsia"/>
                <w:vertAlign w:val="baseline"/>
              </w:rPr>
              <w:t>地方财政科技支出占公共财政支出比重（%）</w:t>
            </w:r>
          </w:p>
        </w:tc>
        <w:tc>
          <w:tcPr>
            <w:tcW w:w="1342" w:type="dxa"/>
          </w:tcPr>
          <w:p w14:paraId="72E67A41">
            <w:pPr>
              <w:pStyle w:val="11"/>
              <w:jc w:val="center"/>
              <w:rPr>
                <w:rFonts w:hint="eastAsia"/>
                <w:vertAlign w:val="baseline"/>
              </w:rPr>
            </w:pPr>
          </w:p>
        </w:tc>
        <w:tc>
          <w:tcPr>
            <w:tcW w:w="1364" w:type="dxa"/>
          </w:tcPr>
          <w:p w14:paraId="2914B652">
            <w:pPr>
              <w:pStyle w:val="11"/>
              <w:jc w:val="center"/>
              <w:rPr>
                <w:rFonts w:hint="eastAsia"/>
                <w:vertAlign w:val="baseline"/>
              </w:rPr>
            </w:pPr>
            <w:r>
              <w:rPr>
                <w:rFonts w:hint="eastAsia"/>
                <w:vertAlign w:val="baseline"/>
              </w:rPr>
              <w:t>持续稳</w:t>
            </w:r>
          </w:p>
          <w:p w14:paraId="77BA0F83">
            <w:pPr>
              <w:pStyle w:val="11"/>
              <w:jc w:val="center"/>
              <w:rPr>
                <w:rFonts w:hint="eastAsia"/>
                <w:vertAlign w:val="baseline"/>
              </w:rPr>
            </w:pPr>
            <w:r>
              <w:rPr>
                <w:rFonts w:hint="eastAsia"/>
                <w:vertAlign w:val="baseline"/>
              </w:rPr>
              <w:t>定增长</w:t>
            </w:r>
          </w:p>
        </w:tc>
        <w:tc>
          <w:tcPr>
            <w:tcW w:w="966" w:type="dxa"/>
          </w:tcPr>
          <w:p w14:paraId="54BB3790">
            <w:pPr>
              <w:pStyle w:val="11"/>
              <w:jc w:val="center"/>
              <w:rPr>
                <w:rFonts w:hint="eastAsia"/>
                <w:vertAlign w:val="baseline"/>
              </w:rPr>
            </w:pPr>
            <w:r>
              <w:rPr>
                <w:rFonts w:hint="eastAsia"/>
                <w:vertAlign w:val="baseline"/>
              </w:rPr>
              <w:t>预期性</w:t>
            </w:r>
          </w:p>
        </w:tc>
      </w:tr>
      <w:tr w14:paraId="6664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0EC335CD">
            <w:pPr>
              <w:pStyle w:val="11"/>
              <w:jc w:val="center"/>
              <w:rPr>
                <w:rFonts w:hint="eastAsia"/>
                <w:vertAlign w:val="baseline"/>
              </w:rPr>
            </w:pPr>
            <w:r>
              <w:rPr>
                <w:rFonts w:hint="eastAsia"/>
                <w:vertAlign w:val="baseline"/>
              </w:rPr>
              <w:t>国家高新技术企业数量（家）</w:t>
            </w:r>
          </w:p>
        </w:tc>
        <w:tc>
          <w:tcPr>
            <w:tcW w:w="1342" w:type="dxa"/>
          </w:tcPr>
          <w:p w14:paraId="33A960B2">
            <w:pPr>
              <w:pStyle w:val="11"/>
              <w:jc w:val="center"/>
              <w:rPr>
                <w:rFonts w:hint="eastAsia"/>
                <w:vertAlign w:val="baseline"/>
              </w:rPr>
            </w:pPr>
            <w:r>
              <w:rPr>
                <w:rFonts w:hint="eastAsia"/>
                <w:vertAlign w:val="baseline"/>
              </w:rPr>
              <w:t>6</w:t>
            </w:r>
          </w:p>
        </w:tc>
        <w:tc>
          <w:tcPr>
            <w:tcW w:w="1364" w:type="dxa"/>
          </w:tcPr>
          <w:p w14:paraId="1827AC45">
            <w:pPr>
              <w:pStyle w:val="11"/>
              <w:jc w:val="center"/>
              <w:rPr>
                <w:rFonts w:hint="default" w:eastAsia="宋体"/>
                <w:vertAlign w:val="baseline"/>
                <w:lang w:val="en-US" w:eastAsia="zh-CN"/>
              </w:rPr>
            </w:pPr>
            <w:r>
              <w:rPr>
                <w:rFonts w:hint="eastAsia"/>
                <w:vertAlign w:val="baseline"/>
              </w:rPr>
              <w:t>≥</w:t>
            </w:r>
            <w:r>
              <w:rPr>
                <w:rFonts w:hint="eastAsia"/>
                <w:vertAlign w:val="baseline"/>
                <w:lang w:val="en-US" w:eastAsia="zh-CN"/>
              </w:rPr>
              <w:t>10</w:t>
            </w:r>
          </w:p>
        </w:tc>
        <w:tc>
          <w:tcPr>
            <w:tcW w:w="966" w:type="dxa"/>
          </w:tcPr>
          <w:p w14:paraId="7EEA0FED">
            <w:pPr>
              <w:pStyle w:val="11"/>
              <w:jc w:val="center"/>
              <w:rPr>
                <w:rFonts w:hint="eastAsia"/>
                <w:vertAlign w:val="baseline"/>
              </w:rPr>
            </w:pPr>
            <w:r>
              <w:rPr>
                <w:rFonts w:hint="eastAsia"/>
                <w:vertAlign w:val="baseline"/>
              </w:rPr>
              <w:t>预期性</w:t>
            </w:r>
          </w:p>
        </w:tc>
      </w:tr>
      <w:tr w14:paraId="48D7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2BD57824">
            <w:pPr>
              <w:pStyle w:val="11"/>
              <w:jc w:val="center"/>
              <w:rPr>
                <w:rFonts w:hint="eastAsia"/>
                <w:vertAlign w:val="baseline"/>
              </w:rPr>
            </w:pPr>
            <w:r>
              <w:rPr>
                <w:rFonts w:hint="eastAsia"/>
                <w:vertAlign w:val="baseline"/>
              </w:rPr>
              <w:t>自治区科技型中小企业数量（家）</w:t>
            </w:r>
          </w:p>
        </w:tc>
        <w:tc>
          <w:tcPr>
            <w:tcW w:w="1342" w:type="dxa"/>
          </w:tcPr>
          <w:p w14:paraId="4314E38F">
            <w:pPr>
              <w:pStyle w:val="11"/>
              <w:jc w:val="center"/>
              <w:rPr>
                <w:rFonts w:hint="eastAsia" w:eastAsia="宋体"/>
                <w:vertAlign w:val="baseline"/>
                <w:lang w:eastAsia="zh-CN"/>
              </w:rPr>
            </w:pPr>
            <w:r>
              <w:rPr>
                <w:rFonts w:hint="eastAsia"/>
                <w:vertAlign w:val="baseline"/>
                <w:lang w:val="en-US" w:eastAsia="zh-CN"/>
              </w:rPr>
              <w:t>8</w:t>
            </w:r>
          </w:p>
        </w:tc>
        <w:tc>
          <w:tcPr>
            <w:tcW w:w="1364" w:type="dxa"/>
          </w:tcPr>
          <w:p w14:paraId="5D803860">
            <w:pPr>
              <w:pStyle w:val="11"/>
              <w:jc w:val="center"/>
              <w:rPr>
                <w:rFonts w:hint="default" w:eastAsia="宋体"/>
                <w:vertAlign w:val="baseline"/>
                <w:lang w:val="en-US" w:eastAsia="zh-CN"/>
              </w:rPr>
            </w:pPr>
            <w:r>
              <w:rPr>
                <w:rFonts w:hint="eastAsia"/>
                <w:vertAlign w:val="baseline"/>
              </w:rPr>
              <w:t>≥</w:t>
            </w:r>
            <w:r>
              <w:rPr>
                <w:rFonts w:hint="eastAsia"/>
                <w:vertAlign w:val="baseline"/>
                <w:lang w:val="en-US" w:eastAsia="zh-CN"/>
              </w:rPr>
              <w:t>15</w:t>
            </w:r>
          </w:p>
        </w:tc>
        <w:tc>
          <w:tcPr>
            <w:tcW w:w="966" w:type="dxa"/>
          </w:tcPr>
          <w:p w14:paraId="2ADA505F">
            <w:pPr>
              <w:pStyle w:val="11"/>
              <w:jc w:val="center"/>
              <w:rPr>
                <w:rFonts w:hint="eastAsia"/>
                <w:vertAlign w:val="baseline"/>
              </w:rPr>
            </w:pPr>
            <w:r>
              <w:rPr>
                <w:rFonts w:hint="eastAsia"/>
                <w:vertAlign w:val="baseline"/>
              </w:rPr>
              <w:t>预期性</w:t>
            </w:r>
          </w:p>
        </w:tc>
      </w:tr>
      <w:tr w14:paraId="127E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6D73C579">
            <w:pPr>
              <w:pStyle w:val="11"/>
              <w:jc w:val="both"/>
              <w:rPr>
                <w:rFonts w:hint="eastAsia"/>
                <w:vertAlign w:val="baseline"/>
              </w:rPr>
            </w:pPr>
            <w:r>
              <w:rPr>
                <w:rFonts w:hint="eastAsia"/>
                <w:vertAlign w:val="baseline"/>
              </w:rPr>
              <w:t>规模以上工业企业有研发活动企业占比（%）</w:t>
            </w:r>
          </w:p>
        </w:tc>
        <w:tc>
          <w:tcPr>
            <w:tcW w:w="1342" w:type="dxa"/>
          </w:tcPr>
          <w:p w14:paraId="63E2685E">
            <w:pPr>
              <w:pStyle w:val="11"/>
              <w:jc w:val="center"/>
              <w:rPr>
                <w:rFonts w:hint="eastAsia" w:eastAsia="宋体"/>
                <w:vertAlign w:val="baseline"/>
                <w:lang w:eastAsia="zh-CN"/>
              </w:rPr>
            </w:pPr>
            <w:r>
              <w:rPr>
                <w:rFonts w:hint="eastAsia"/>
                <w:vertAlign w:val="baseline"/>
                <w:lang w:val="en-US" w:eastAsia="zh-CN"/>
              </w:rPr>
              <w:t>0</w:t>
            </w:r>
          </w:p>
        </w:tc>
        <w:tc>
          <w:tcPr>
            <w:tcW w:w="1364" w:type="dxa"/>
          </w:tcPr>
          <w:p w14:paraId="5100E803">
            <w:pPr>
              <w:pStyle w:val="11"/>
              <w:jc w:val="center"/>
              <w:rPr>
                <w:rFonts w:hint="eastAsia"/>
                <w:vertAlign w:val="baseline"/>
              </w:rPr>
            </w:pPr>
            <w:r>
              <w:rPr>
                <w:rFonts w:hint="eastAsia"/>
                <w:vertAlign w:val="baseline"/>
              </w:rPr>
              <w:t>≥</w:t>
            </w:r>
            <w:r>
              <w:rPr>
                <w:rFonts w:hint="eastAsia"/>
                <w:vertAlign w:val="baseline"/>
                <w:lang w:val="en-US" w:eastAsia="zh-CN"/>
              </w:rPr>
              <w:t>15</w:t>
            </w:r>
            <w:r>
              <w:rPr>
                <w:rFonts w:hint="eastAsia"/>
                <w:vertAlign w:val="baseline"/>
              </w:rPr>
              <w:t>%</w:t>
            </w:r>
          </w:p>
        </w:tc>
        <w:tc>
          <w:tcPr>
            <w:tcW w:w="966" w:type="dxa"/>
          </w:tcPr>
          <w:p w14:paraId="4A4304AA">
            <w:pPr>
              <w:pStyle w:val="11"/>
              <w:jc w:val="center"/>
              <w:rPr>
                <w:rFonts w:hint="eastAsia"/>
                <w:vertAlign w:val="baseline"/>
              </w:rPr>
            </w:pPr>
            <w:r>
              <w:rPr>
                <w:rFonts w:hint="eastAsia"/>
                <w:vertAlign w:val="baseline"/>
              </w:rPr>
              <w:t>预期性</w:t>
            </w:r>
          </w:p>
        </w:tc>
      </w:tr>
      <w:tr w14:paraId="40B6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753AC7F8">
            <w:pPr>
              <w:pStyle w:val="11"/>
              <w:jc w:val="center"/>
              <w:rPr>
                <w:rFonts w:hint="eastAsia"/>
                <w:vertAlign w:val="baseline"/>
              </w:rPr>
            </w:pPr>
            <w:r>
              <w:rPr>
                <w:rFonts w:hint="eastAsia"/>
                <w:vertAlign w:val="baseline"/>
              </w:rPr>
              <w:t>每万人口高价值发明专利拥有量（件）</w:t>
            </w:r>
          </w:p>
        </w:tc>
        <w:tc>
          <w:tcPr>
            <w:tcW w:w="1342" w:type="dxa"/>
          </w:tcPr>
          <w:p w14:paraId="0531927B">
            <w:pPr>
              <w:pStyle w:val="11"/>
              <w:jc w:val="center"/>
              <w:rPr>
                <w:rFonts w:hint="eastAsia"/>
                <w:vertAlign w:val="baseline"/>
              </w:rPr>
            </w:pPr>
            <w:r>
              <w:rPr>
                <w:rFonts w:hint="eastAsia"/>
                <w:vertAlign w:val="baseline"/>
              </w:rPr>
              <w:t>0.</w:t>
            </w:r>
            <w:r>
              <w:rPr>
                <w:rFonts w:hint="eastAsia"/>
                <w:vertAlign w:val="baseline"/>
                <w:lang w:val="en-US" w:eastAsia="zh-CN"/>
              </w:rPr>
              <w:t>0</w:t>
            </w:r>
            <w:r>
              <w:rPr>
                <w:rFonts w:hint="eastAsia"/>
                <w:vertAlign w:val="baseline"/>
              </w:rPr>
              <w:t>18</w:t>
            </w:r>
          </w:p>
        </w:tc>
        <w:tc>
          <w:tcPr>
            <w:tcW w:w="1364" w:type="dxa"/>
          </w:tcPr>
          <w:p w14:paraId="356B6B11">
            <w:pPr>
              <w:pStyle w:val="11"/>
              <w:jc w:val="center"/>
              <w:rPr>
                <w:rFonts w:hint="default" w:eastAsia="宋体"/>
                <w:vertAlign w:val="baseline"/>
                <w:lang w:val="en-US" w:eastAsia="zh-CN"/>
              </w:rPr>
            </w:pPr>
            <w:r>
              <w:rPr>
                <w:rFonts w:hint="eastAsia"/>
                <w:vertAlign w:val="baseline"/>
              </w:rPr>
              <w:t>≥0.</w:t>
            </w:r>
            <w:r>
              <w:rPr>
                <w:rFonts w:hint="eastAsia"/>
                <w:vertAlign w:val="baseline"/>
                <w:lang w:val="en-US" w:eastAsia="zh-CN"/>
              </w:rPr>
              <w:t>06</w:t>
            </w:r>
          </w:p>
        </w:tc>
        <w:tc>
          <w:tcPr>
            <w:tcW w:w="966" w:type="dxa"/>
          </w:tcPr>
          <w:p w14:paraId="7CD3BCE1">
            <w:pPr>
              <w:pStyle w:val="11"/>
              <w:jc w:val="center"/>
              <w:rPr>
                <w:rFonts w:hint="eastAsia"/>
                <w:vertAlign w:val="baseline"/>
              </w:rPr>
            </w:pPr>
            <w:r>
              <w:rPr>
                <w:rFonts w:hint="eastAsia"/>
                <w:vertAlign w:val="baseline"/>
              </w:rPr>
              <w:t>预期性</w:t>
            </w:r>
          </w:p>
        </w:tc>
      </w:tr>
      <w:tr w14:paraId="4CCC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21A240A3">
            <w:pPr>
              <w:pStyle w:val="11"/>
              <w:jc w:val="center"/>
              <w:rPr>
                <w:rFonts w:hint="eastAsia"/>
                <w:vertAlign w:val="baseline"/>
              </w:rPr>
            </w:pPr>
            <w:r>
              <w:rPr>
                <w:rFonts w:hint="eastAsia"/>
                <w:vertAlign w:val="baseline"/>
              </w:rPr>
              <w:t>技术合同成交额年均增速（%）</w:t>
            </w:r>
          </w:p>
        </w:tc>
        <w:tc>
          <w:tcPr>
            <w:tcW w:w="1342" w:type="dxa"/>
          </w:tcPr>
          <w:p w14:paraId="0F383F05">
            <w:pPr>
              <w:pStyle w:val="11"/>
              <w:jc w:val="center"/>
              <w:rPr>
                <w:rFonts w:hint="eastAsia" w:eastAsia="宋体"/>
                <w:vertAlign w:val="baseline"/>
                <w:lang w:val="en-US" w:eastAsia="zh-CN"/>
              </w:rPr>
            </w:pPr>
            <w:r>
              <w:rPr>
                <w:rFonts w:hint="eastAsia"/>
                <w:vertAlign w:val="baseline"/>
                <w:lang w:val="en-US" w:eastAsia="zh-CN"/>
              </w:rPr>
              <w:t>2</w:t>
            </w:r>
          </w:p>
        </w:tc>
        <w:tc>
          <w:tcPr>
            <w:tcW w:w="1364" w:type="dxa"/>
          </w:tcPr>
          <w:p w14:paraId="64BB2984">
            <w:pPr>
              <w:pStyle w:val="11"/>
              <w:jc w:val="center"/>
              <w:rPr>
                <w:rFonts w:hint="eastAsia"/>
                <w:vertAlign w:val="baseline"/>
              </w:rPr>
            </w:pPr>
            <w:r>
              <w:rPr>
                <w:rFonts w:hint="eastAsia"/>
                <w:vertAlign w:val="baseline"/>
              </w:rPr>
              <w:t>&gt;</w:t>
            </w:r>
            <w:r>
              <w:rPr>
                <w:rFonts w:hint="eastAsia"/>
                <w:vertAlign w:val="baseline"/>
                <w:lang w:val="en-US" w:eastAsia="zh-CN"/>
              </w:rPr>
              <w:t>3</w:t>
            </w:r>
            <w:r>
              <w:rPr>
                <w:rFonts w:hint="eastAsia"/>
                <w:vertAlign w:val="baseline"/>
              </w:rPr>
              <w:t>%</w:t>
            </w:r>
          </w:p>
        </w:tc>
        <w:tc>
          <w:tcPr>
            <w:tcW w:w="966" w:type="dxa"/>
          </w:tcPr>
          <w:p w14:paraId="1C6D80C5">
            <w:pPr>
              <w:pStyle w:val="11"/>
              <w:jc w:val="center"/>
              <w:rPr>
                <w:rFonts w:hint="eastAsia"/>
                <w:vertAlign w:val="baseline"/>
              </w:rPr>
            </w:pPr>
            <w:r>
              <w:rPr>
                <w:rFonts w:hint="eastAsia"/>
                <w:vertAlign w:val="baseline"/>
              </w:rPr>
              <w:t>预期性</w:t>
            </w:r>
          </w:p>
        </w:tc>
      </w:tr>
      <w:tr w14:paraId="24CE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1B973DF2">
            <w:pPr>
              <w:pStyle w:val="11"/>
              <w:jc w:val="center"/>
              <w:rPr>
                <w:rFonts w:hint="eastAsia"/>
                <w:vertAlign w:val="baseline"/>
              </w:rPr>
            </w:pPr>
            <w:r>
              <w:rPr>
                <w:rFonts w:hint="eastAsia"/>
                <w:vertAlign w:val="baseline"/>
              </w:rPr>
              <w:t>自治区级及以上创新平台数量（个）</w:t>
            </w:r>
          </w:p>
        </w:tc>
        <w:tc>
          <w:tcPr>
            <w:tcW w:w="1342" w:type="dxa"/>
          </w:tcPr>
          <w:p w14:paraId="2DDD7454">
            <w:pPr>
              <w:pStyle w:val="11"/>
              <w:jc w:val="center"/>
              <w:rPr>
                <w:rFonts w:hint="eastAsia"/>
                <w:vertAlign w:val="baseline"/>
              </w:rPr>
            </w:pPr>
            <w:r>
              <w:rPr>
                <w:rFonts w:hint="eastAsia"/>
                <w:vertAlign w:val="baseline"/>
              </w:rPr>
              <w:t>2</w:t>
            </w:r>
          </w:p>
        </w:tc>
        <w:tc>
          <w:tcPr>
            <w:tcW w:w="1364" w:type="dxa"/>
          </w:tcPr>
          <w:p w14:paraId="14A14A23">
            <w:pPr>
              <w:pStyle w:val="11"/>
              <w:jc w:val="center"/>
              <w:rPr>
                <w:rFonts w:hint="eastAsia" w:eastAsia="宋体"/>
                <w:vertAlign w:val="baseline"/>
                <w:lang w:eastAsia="zh-CN"/>
              </w:rPr>
            </w:pPr>
            <w:r>
              <w:rPr>
                <w:rFonts w:hint="eastAsia"/>
                <w:vertAlign w:val="baseline"/>
              </w:rPr>
              <w:t>≥</w:t>
            </w:r>
            <w:r>
              <w:rPr>
                <w:rFonts w:hint="eastAsia"/>
                <w:vertAlign w:val="baseline"/>
                <w:lang w:val="en-US" w:eastAsia="zh-CN"/>
              </w:rPr>
              <w:t>3</w:t>
            </w:r>
          </w:p>
        </w:tc>
        <w:tc>
          <w:tcPr>
            <w:tcW w:w="966" w:type="dxa"/>
          </w:tcPr>
          <w:p w14:paraId="04EDF9BD">
            <w:pPr>
              <w:pStyle w:val="11"/>
              <w:jc w:val="center"/>
              <w:rPr>
                <w:rFonts w:hint="eastAsia"/>
                <w:vertAlign w:val="baseline"/>
              </w:rPr>
            </w:pPr>
            <w:r>
              <w:rPr>
                <w:rFonts w:hint="eastAsia"/>
                <w:vertAlign w:val="baseline"/>
              </w:rPr>
              <w:t>预期性</w:t>
            </w:r>
          </w:p>
        </w:tc>
      </w:tr>
      <w:tr w14:paraId="7055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0AFAA17C">
            <w:pPr>
              <w:pStyle w:val="11"/>
              <w:jc w:val="center"/>
              <w:rPr>
                <w:rFonts w:hint="eastAsia"/>
                <w:vertAlign w:val="baseline"/>
              </w:rPr>
            </w:pPr>
            <w:r>
              <w:rPr>
                <w:rFonts w:hint="eastAsia"/>
                <w:vertAlign w:val="baseline"/>
              </w:rPr>
              <w:t>科技特派员年服务人次</w:t>
            </w:r>
          </w:p>
        </w:tc>
        <w:tc>
          <w:tcPr>
            <w:tcW w:w="1342" w:type="dxa"/>
          </w:tcPr>
          <w:p w14:paraId="6FA09868">
            <w:pPr>
              <w:pStyle w:val="11"/>
              <w:jc w:val="center"/>
              <w:rPr>
                <w:rFonts w:hint="default" w:eastAsia="宋体"/>
                <w:vertAlign w:val="baseline"/>
                <w:lang w:val="en-US" w:eastAsia="zh-CN"/>
              </w:rPr>
            </w:pPr>
            <w:r>
              <w:rPr>
                <w:rFonts w:hint="eastAsia"/>
                <w:vertAlign w:val="baseline"/>
                <w:lang w:val="en-US" w:eastAsia="zh-CN"/>
              </w:rPr>
              <w:t>100</w:t>
            </w:r>
          </w:p>
        </w:tc>
        <w:tc>
          <w:tcPr>
            <w:tcW w:w="1364" w:type="dxa"/>
          </w:tcPr>
          <w:p w14:paraId="0B744C9B">
            <w:pPr>
              <w:pStyle w:val="11"/>
              <w:jc w:val="center"/>
              <w:rPr>
                <w:rFonts w:hint="default" w:eastAsia="宋体"/>
                <w:vertAlign w:val="baseline"/>
                <w:lang w:val="en-US" w:eastAsia="zh-CN"/>
              </w:rPr>
            </w:pPr>
            <w:r>
              <w:rPr>
                <w:rFonts w:hint="eastAsia"/>
                <w:vertAlign w:val="baseline"/>
              </w:rPr>
              <w:t>≥</w:t>
            </w:r>
            <w:r>
              <w:rPr>
                <w:rFonts w:hint="eastAsia"/>
                <w:vertAlign w:val="baseline"/>
                <w:lang w:val="en-US" w:eastAsia="zh-CN"/>
              </w:rPr>
              <w:t>100</w:t>
            </w:r>
          </w:p>
        </w:tc>
        <w:tc>
          <w:tcPr>
            <w:tcW w:w="966" w:type="dxa"/>
          </w:tcPr>
          <w:p w14:paraId="67E0D4B6">
            <w:pPr>
              <w:pStyle w:val="11"/>
              <w:jc w:val="center"/>
              <w:rPr>
                <w:rFonts w:hint="eastAsia"/>
                <w:vertAlign w:val="baseline"/>
              </w:rPr>
            </w:pPr>
            <w:r>
              <w:rPr>
                <w:rFonts w:hint="eastAsia"/>
                <w:vertAlign w:val="baseline"/>
              </w:rPr>
              <w:t>预期性</w:t>
            </w:r>
          </w:p>
        </w:tc>
      </w:tr>
      <w:tr w14:paraId="4329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6368AF24">
            <w:pPr>
              <w:pStyle w:val="11"/>
              <w:jc w:val="center"/>
              <w:rPr>
                <w:rFonts w:hint="eastAsia"/>
                <w:vertAlign w:val="baseline"/>
              </w:rPr>
            </w:pPr>
            <w:r>
              <w:rPr>
                <w:rFonts w:hint="eastAsia"/>
                <w:vertAlign w:val="baseline"/>
              </w:rPr>
              <w:t>公民具备科学素质的比例（%）</w:t>
            </w:r>
          </w:p>
        </w:tc>
        <w:tc>
          <w:tcPr>
            <w:tcW w:w="1342" w:type="dxa"/>
          </w:tcPr>
          <w:p w14:paraId="24C5CF1E">
            <w:pPr>
              <w:pStyle w:val="11"/>
              <w:jc w:val="center"/>
              <w:rPr>
                <w:rFonts w:hint="eastAsia" w:eastAsia="宋体"/>
                <w:vertAlign w:val="baseline"/>
                <w:lang w:val="en-US" w:eastAsia="zh-CN"/>
              </w:rPr>
            </w:pPr>
            <w:r>
              <w:rPr>
                <w:rFonts w:hint="eastAsia"/>
                <w:vertAlign w:val="baseline"/>
                <w:lang w:val="en-US" w:eastAsia="zh-CN"/>
              </w:rPr>
              <w:t>5</w:t>
            </w:r>
          </w:p>
        </w:tc>
        <w:tc>
          <w:tcPr>
            <w:tcW w:w="1364" w:type="dxa"/>
          </w:tcPr>
          <w:p w14:paraId="6D4574A6">
            <w:pPr>
              <w:pStyle w:val="11"/>
              <w:jc w:val="center"/>
              <w:rPr>
                <w:rFonts w:hint="eastAsia"/>
                <w:vertAlign w:val="baseline"/>
              </w:rPr>
            </w:pPr>
            <w:r>
              <w:rPr>
                <w:rFonts w:hint="eastAsia"/>
                <w:vertAlign w:val="baseline"/>
              </w:rPr>
              <w:t>&gt;16%</w:t>
            </w:r>
          </w:p>
        </w:tc>
        <w:tc>
          <w:tcPr>
            <w:tcW w:w="966" w:type="dxa"/>
          </w:tcPr>
          <w:p w14:paraId="2DB3B4AC">
            <w:pPr>
              <w:pStyle w:val="11"/>
              <w:jc w:val="center"/>
              <w:rPr>
                <w:rFonts w:hint="eastAsia"/>
                <w:vertAlign w:val="baseline"/>
              </w:rPr>
            </w:pPr>
            <w:r>
              <w:rPr>
                <w:rFonts w:hint="eastAsia"/>
                <w:vertAlign w:val="baseline"/>
              </w:rPr>
              <w:t>预期性</w:t>
            </w:r>
          </w:p>
        </w:tc>
      </w:tr>
      <w:tr w14:paraId="650F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0" w:type="dxa"/>
          </w:tcPr>
          <w:p w14:paraId="5F0EE047">
            <w:pPr>
              <w:pStyle w:val="11"/>
              <w:jc w:val="center"/>
              <w:rPr>
                <w:rFonts w:hint="eastAsia"/>
                <w:vertAlign w:val="baseline"/>
              </w:rPr>
            </w:pPr>
            <w:r>
              <w:rPr>
                <w:rFonts w:hint="eastAsia"/>
                <w:vertAlign w:val="baseline"/>
              </w:rPr>
              <w:t>农业科技进步贡献率（%）</w:t>
            </w:r>
          </w:p>
        </w:tc>
        <w:tc>
          <w:tcPr>
            <w:tcW w:w="1342" w:type="dxa"/>
          </w:tcPr>
          <w:p w14:paraId="7A8D0EC3">
            <w:pPr>
              <w:pStyle w:val="11"/>
              <w:jc w:val="center"/>
              <w:rPr>
                <w:rFonts w:hint="eastAsia"/>
                <w:color w:val="FF0000"/>
                <w:vertAlign w:val="baseline"/>
              </w:rPr>
            </w:pPr>
          </w:p>
        </w:tc>
        <w:tc>
          <w:tcPr>
            <w:tcW w:w="1364" w:type="dxa"/>
          </w:tcPr>
          <w:p w14:paraId="1202C4FC">
            <w:pPr>
              <w:pStyle w:val="11"/>
              <w:jc w:val="center"/>
              <w:rPr>
                <w:rFonts w:hint="eastAsia"/>
                <w:color w:val="FF0000"/>
                <w:vertAlign w:val="baseline"/>
              </w:rPr>
            </w:pPr>
            <w:r>
              <w:rPr>
                <w:rFonts w:hint="eastAsia"/>
                <w:color w:val="auto"/>
                <w:vertAlign w:val="baseline"/>
              </w:rPr>
              <w:t>≥</w:t>
            </w:r>
            <w:r>
              <w:rPr>
                <w:rFonts w:hint="eastAsia"/>
                <w:color w:val="auto"/>
                <w:vertAlign w:val="baseline"/>
                <w:lang w:val="en-US" w:eastAsia="zh-CN"/>
              </w:rPr>
              <w:t>50</w:t>
            </w:r>
            <w:r>
              <w:rPr>
                <w:rFonts w:hint="eastAsia"/>
                <w:color w:val="auto"/>
                <w:vertAlign w:val="baseline"/>
              </w:rPr>
              <w:t>%</w:t>
            </w:r>
          </w:p>
        </w:tc>
        <w:tc>
          <w:tcPr>
            <w:tcW w:w="966" w:type="dxa"/>
          </w:tcPr>
          <w:p w14:paraId="133CEEA6">
            <w:pPr>
              <w:pStyle w:val="11"/>
              <w:jc w:val="center"/>
              <w:rPr>
                <w:rFonts w:hint="eastAsia"/>
                <w:vertAlign w:val="baseline"/>
              </w:rPr>
            </w:pPr>
            <w:r>
              <w:rPr>
                <w:rFonts w:hint="eastAsia"/>
                <w:vertAlign w:val="baseline"/>
              </w:rPr>
              <w:t>预期性</w:t>
            </w:r>
          </w:p>
        </w:tc>
      </w:tr>
    </w:tbl>
    <w:p w14:paraId="1A956E3E">
      <w:pPr>
        <w:pStyle w:val="11"/>
        <w:ind w:left="0" w:leftChars="0" w:firstLine="0" w:firstLineChars="0"/>
        <w:rPr>
          <w:rFonts w:hint="eastAsia"/>
        </w:rPr>
      </w:pPr>
    </w:p>
    <w:p w14:paraId="0B457105">
      <w:pPr>
        <w:pStyle w:val="3"/>
        <w:bidi w:val="0"/>
        <w:ind w:firstLine="640" w:firstLineChars="200"/>
        <w:rPr>
          <w:rFonts w:hint="eastAsia"/>
          <w:lang w:val="en-US" w:eastAsia="zh-CN"/>
        </w:rPr>
      </w:pPr>
      <w:bookmarkStart w:id="22" w:name="_Toc21011"/>
      <w:bookmarkStart w:id="23" w:name="_Toc16393"/>
      <w:r>
        <w:rPr>
          <w:rFonts w:hint="eastAsia"/>
          <w:lang w:val="en-US" w:eastAsia="zh-CN"/>
        </w:rPr>
        <w:t>三、重点领域与主要任务</w:t>
      </w:r>
      <w:bookmarkEnd w:id="22"/>
      <w:bookmarkEnd w:id="23"/>
    </w:p>
    <w:p w14:paraId="777780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围绕总体目标和发展需求，“十五五”期间，皮山县将集中资源，聚焦以下</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大重点领域</w:t>
      </w:r>
      <w:r>
        <w:rPr>
          <w:rFonts w:hint="eastAsia" w:ascii="仿宋_GB2312" w:hAnsi="仿宋_GB2312" w:eastAsia="仿宋_GB2312" w:cs="仿宋_GB2312"/>
          <w:sz w:val="32"/>
          <w:szCs w:val="32"/>
          <w:lang w:val="en-US" w:eastAsia="zh-CN"/>
        </w:rPr>
        <w:t>部署重点</w:t>
      </w:r>
      <w:r>
        <w:rPr>
          <w:rFonts w:hint="eastAsia" w:ascii="仿宋_GB2312" w:hAnsi="仿宋_GB2312" w:eastAsia="仿宋_GB2312" w:cs="仿宋_GB2312"/>
          <w:sz w:val="32"/>
          <w:szCs w:val="32"/>
          <w:lang w:eastAsia="zh-CN"/>
        </w:rPr>
        <w:t>任务，组织实施一批重大工程和专项行动。</w:t>
      </w:r>
    </w:p>
    <w:p w14:paraId="1AD6855D">
      <w:pPr>
        <w:pStyle w:val="4"/>
        <w:bidi w:val="0"/>
        <w:ind w:firstLine="600" w:firstLineChars="200"/>
        <w:rPr>
          <w:rFonts w:hint="eastAsia"/>
          <w:lang w:val="en-US" w:eastAsia="zh-CN"/>
        </w:rPr>
      </w:pPr>
      <w:bookmarkStart w:id="24" w:name="_Toc22281"/>
      <w:bookmarkStart w:id="25" w:name="_Toc30208"/>
      <w:r>
        <w:rPr>
          <w:rFonts w:hint="eastAsia"/>
          <w:lang w:val="en-US" w:eastAsia="zh-CN"/>
        </w:rPr>
        <w:t>（一）以政策激励为基石，构建高水平创新体系</w:t>
      </w:r>
      <w:bookmarkEnd w:id="24"/>
      <w:bookmarkEnd w:id="25"/>
    </w:p>
    <w:p w14:paraId="2A5100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研究并出台一系列具有突破性、可操作性的科技创新激励政策，基本建成引导有力、覆盖全面、协同高效的政策环境。显著提升财政资金引导效应，充分激发企业、科研机构、科技人才等各类创新主体的内生动力，为构建高水平创新体系打下坚实基础。</w:t>
      </w:r>
    </w:p>
    <w:p w14:paraId="2BB672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 w:hAnsi="楷体" w:eastAsia="楷体" w:cs="楷体"/>
          <w:color w:val="auto"/>
          <w:sz w:val="32"/>
          <w:szCs w:val="32"/>
          <w:lang w:val="en-US" w:eastAsia="zh-CN"/>
        </w:rPr>
        <w:t>财税引导政策：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研究出台《皮山县重点产业研发费用加计扣除兑现细则》等，通过对企业研发投入全面落实税收优惠政策等方式，直接降低市场主体创新成本，引导企业成为技术创新决策、研发投入和成果转化的主体。</w:t>
      </w:r>
    </w:p>
    <w:p w14:paraId="19DCF2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 w:hAnsi="楷体" w:eastAsia="楷体" w:cs="楷体"/>
          <w:color w:val="auto"/>
          <w:sz w:val="32"/>
          <w:szCs w:val="32"/>
          <w:lang w:val="en-US" w:eastAsia="zh-CN"/>
        </w:rPr>
        <w:t>人才引育政策：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出台《关于鼓励“科技特派员”创业创新的若干措施》等。聚焦本土特色产业需求，实施更加开放、灵活的人才政策，通过给予荣誉激励以及成果转化收益分享等方式，引进和培育一批扎根基层的产业技术骨干和复合型科技人才。</w:t>
      </w:r>
    </w:p>
    <w:p w14:paraId="1F5B4A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 w:hAnsi="楷体" w:eastAsia="楷体" w:cs="楷体"/>
          <w:color w:val="auto"/>
          <w:sz w:val="32"/>
          <w:szCs w:val="32"/>
          <w:lang w:val="en-US" w:eastAsia="zh-CN"/>
        </w:rPr>
        <w:t>平台建设与协同创新政策：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制定《关于支持建设众创空间和新型研发机构的指导意见》等。鼓励龙头企业联合高校、科研院所组建创新联合体，对获批建设的国家级、自治区级研发平台给予配套支持，促进创新资源开放共享与产学研用深度融合。</w:t>
      </w:r>
    </w:p>
    <w:p w14:paraId="1A7DD0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 w:hAnsi="楷体" w:eastAsia="楷体" w:cs="楷体"/>
          <w:color w:val="auto"/>
          <w:sz w:val="32"/>
          <w:szCs w:val="32"/>
          <w:lang w:val="en-US" w:eastAsia="zh-CN"/>
        </w:rPr>
        <w:t>成果转化与知识产权政策：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研究出台《皮山县促进科技成果转化实施细则》等。建立健全技术转移服务体系，明确科技成果转化收益分配机制，强化知识产权创造、保护和运用，对形成国家标准、获得发明专利授权及实现重大成果本地转化的行为给予重奖。</w:t>
      </w:r>
    </w:p>
    <w:p w14:paraId="5CBC5B25">
      <w:pPr>
        <w:pStyle w:val="4"/>
        <w:bidi w:val="0"/>
        <w:ind w:firstLine="600" w:firstLineChars="200"/>
        <w:rPr>
          <w:rFonts w:hint="default"/>
          <w:lang w:val="en-US" w:eastAsia="zh-CN"/>
        </w:rPr>
      </w:pPr>
      <w:bookmarkStart w:id="26" w:name="_Toc11837"/>
      <w:r>
        <w:rPr>
          <w:rFonts w:hint="eastAsia"/>
          <w:lang w:val="en-US" w:eastAsia="zh-CN"/>
        </w:rPr>
        <w:t>（二）以科创平台建设为抓手，推动原始创新能力“清零”</w:t>
      </w:r>
      <w:bookmarkEnd w:id="26"/>
    </w:p>
    <w:p w14:paraId="663344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楷体" w:hAnsi="楷体" w:eastAsia="楷体" w:cs="楷体"/>
          <w:b/>
          <w:bCs/>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积极谋划和申报科创平台建设类项目，鼓励龙头企业联合高校、科研院所组建创新联合体，对获批建设的国家级、自治区级研发平台给予配套支持，促进创新资源开放共享与产学研用深度融合，实现皮山县原始创新能力“清零”</w:t>
      </w:r>
    </w:p>
    <w:p w14:paraId="19E5E46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建设特色产业工程技术研究中心（与安徽科技系统联建），涵盖皮山县科技型企业创新平台及科普教育基地等功能任务，将作为皮山县与安徽省科技系统“院地合作”的核心载体，集“战略咨询、技术研发、成果转化、企业孵化、人才培训”等功能于一体，彻底结束皮山县无高标准科技创新基础设施的历史。</w:t>
      </w:r>
    </w:p>
    <w:p w14:paraId="3452B88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构建科创企业孵化平台，</w:t>
      </w:r>
      <w:r>
        <w:rPr>
          <w:rFonts w:hint="eastAsia" w:ascii="仿宋_GB2312" w:hAnsi="仿宋_GB2312" w:eastAsia="仿宋_GB2312" w:cs="仿宋_GB2312"/>
          <w:color w:val="auto"/>
          <w:sz w:val="32"/>
          <w:szCs w:val="32"/>
          <w:lang w:val="en-US" w:eastAsia="zh-CN"/>
        </w:rPr>
        <w:t>构建起“众创空间-孵化器-加速器”全链条、梯度化的孵化育成体系，为不同发展阶段的科技型中小企业提供物理空间、政策咨询、创业辅导、投融资对接、技术转移等专业化服务，培育一批具有自主知识产权和核心竞争力的科技型企业，显著扩大皮山县研发类企业的市场主体规模，形成创新创业集聚效应，成为驱动皮山县产业升级的“核心引擎”。</w:t>
      </w:r>
    </w:p>
    <w:p w14:paraId="030D5A9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高标准建设皮山县果蔬创新研究院。其将立足皮山，辐射全地区，与国家林业科学研究院、中国科学院生态环境研究中心（新疆）、中国科学院合肥智能机械研究所、北京大学等国内顶尖科研院所及高校深度共建，打造一个开放、共享、高水平的区域性果蔬研发枢纽及系统收集、保存、鉴定和评价环塔区域特有的果蔬资源的战略性种质资源保存中心与数据共享平台，抢占南疆果蔬种业创新发展的制高点和主导权，从根本上谋划和优化区域农业长远发展格局。此举不仅将彻底结束皮山县无专业性研发平台的历史，更将通过“筑巢引凤”，建立“候鸟型”专家工作站与访问学者制度，吸引和汇聚国内一流科学家及其团队赴皮山开展长期驻点研究与协同创新，实现“人才链-创新链-产业链”的深度融合。</w:t>
      </w:r>
    </w:p>
    <w:p w14:paraId="40F80B5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积极引导并重点支持皮山县瓜蒌、葛根、石榴等特色产业的龙头企业、骨干企业，联合新疆农业大学、安徽省农业科学院、中国科学院合肥物质科学研究院等对口援建高校及科研院所，共同申报并筹建自治区级工程技术研究中心、技术创新中心、企业技术中心或</w:t>
      </w:r>
      <w:r>
        <w:rPr>
          <w:rFonts w:hint="eastAsia" w:ascii="仿宋_GB2312" w:hAnsi="仿宋_GB2312" w:eastAsia="仿宋_GB2312" w:cs="仿宋_GB2312"/>
          <w:color w:val="auto"/>
          <w:sz w:val="32"/>
          <w:szCs w:val="32"/>
          <w:lang w:eastAsia="zh-CN"/>
        </w:rPr>
        <w:t>产业研究院</w:t>
      </w:r>
      <w:r>
        <w:rPr>
          <w:rFonts w:hint="eastAsia" w:ascii="仿宋_GB2312" w:hAnsi="仿宋_GB2312" w:eastAsia="仿宋_GB2312" w:cs="仿宋_GB2312"/>
          <w:color w:val="auto"/>
          <w:sz w:val="32"/>
          <w:szCs w:val="32"/>
          <w:lang w:val="en-US" w:eastAsia="zh-CN"/>
        </w:rPr>
        <w:t>等新型研发机构。</w:t>
      </w:r>
    </w:p>
    <w:p w14:paraId="0AE0EC43">
      <w:pPr>
        <w:pStyle w:val="4"/>
        <w:bidi w:val="0"/>
        <w:ind w:firstLine="600" w:firstLineChars="200"/>
        <w:rPr>
          <w:rFonts w:hint="eastAsia"/>
          <w:lang w:val="en-US" w:eastAsia="zh-CN"/>
        </w:rPr>
      </w:pPr>
      <w:bookmarkStart w:id="27" w:name="_Toc16544"/>
      <w:bookmarkStart w:id="28" w:name="_Toc11305"/>
      <w:r>
        <w:rPr>
          <w:rFonts w:hint="eastAsia"/>
          <w:lang w:val="en-US" w:eastAsia="zh-CN"/>
        </w:rPr>
        <w:t>（三）聚焦现代产业科技服务体系建设，部署关键核心技术攻关</w:t>
      </w:r>
      <w:bookmarkEnd w:id="27"/>
      <w:bookmarkEnd w:id="28"/>
    </w:p>
    <w:p w14:paraId="1BC093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坚持需求导向和问题导向，围绕产业链薄弱环节和未来制高点，组织实施好重大科技项目。</w:t>
      </w:r>
    </w:p>
    <w:p w14:paraId="7CAF7B55">
      <w:pPr>
        <w:pStyle w:val="5"/>
        <w:bidi w:val="0"/>
        <w:ind w:firstLine="560" w:firstLineChars="200"/>
        <w:rPr>
          <w:rFonts w:hint="eastAsia"/>
          <w:lang w:eastAsia="zh-CN"/>
        </w:rPr>
      </w:pPr>
      <w:bookmarkStart w:id="29" w:name="_Toc18033"/>
      <w:bookmarkStart w:id="30" w:name="_Toc30463"/>
      <w:r>
        <w:rPr>
          <w:rFonts w:hint="eastAsia"/>
          <w:lang w:eastAsia="zh-CN"/>
        </w:rPr>
        <w:t>1.现代农业科技创新工程：</w:t>
      </w:r>
      <w:bookmarkEnd w:id="29"/>
      <w:bookmarkEnd w:id="30"/>
    </w:p>
    <w:p w14:paraId="63142D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现代种业创新：</w:t>
      </w:r>
      <w:r>
        <w:rPr>
          <w:rFonts w:hint="eastAsia" w:ascii="仿宋_GB2312" w:hAnsi="仿宋_GB2312" w:eastAsia="仿宋_GB2312" w:cs="仿宋_GB2312"/>
          <w:sz w:val="32"/>
          <w:szCs w:val="32"/>
          <w:lang w:eastAsia="zh-CN"/>
        </w:rPr>
        <w:t>开展皮山红羊、和田青驴、</w:t>
      </w:r>
      <w:r>
        <w:rPr>
          <w:rFonts w:hint="eastAsia" w:ascii="仿宋_GB2312" w:hAnsi="仿宋_GB2312" w:eastAsia="仿宋_GB2312" w:cs="仿宋_GB2312"/>
          <w:sz w:val="32"/>
          <w:szCs w:val="32"/>
          <w:lang w:val="en-US" w:eastAsia="zh-CN"/>
        </w:rPr>
        <w:t>瓜蒌、石榴、雪菊、杏子、核桃</w:t>
      </w:r>
      <w:r>
        <w:rPr>
          <w:rFonts w:hint="eastAsia" w:ascii="仿宋_GB2312" w:hAnsi="仿宋_GB2312" w:eastAsia="仿宋_GB2312" w:cs="仿宋_GB2312"/>
          <w:sz w:val="32"/>
          <w:szCs w:val="32"/>
          <w:lang w:eastAsia="zh-CN"/>
        </w:rPr>
        <w:t>等地方优良品种的提纯复壮、本</w:t>
      </w:r>
      <w:r>
        <w:rPr>
          <w:rFonts w:hint="eastAsia" w:ascii="仿宋_GB2312" w:hAnsi="仿宋_GB2312" w:eastAsia="仿宋_GB2312" w:cs="仿宋_GB2312"/>
          <w:sz w:val="32"/>
          <w:szCs w:val="32"/>
          <w:lang w:val="en-US" w:eastAsia="zh-CN"/>
        </w:rPr>
        <w:t>土</w:t>
      </w:r>
      <w:r>
        <w:rPr>
          <w:rFonts w:hint="eastAsia" w:ascii="仿宋_GB2312" w:hAnsi="仿宋_GB2312" w:eastAsia="仿宋_GB2312" w:cs="仿宋_GB2312"/>
          <w:sz w:val="32"/>
          <w:szCs w:val="32"/>
          <w:lang w:eastAsia="zh-CN"/>
        </w:rPr>
        <w:t>品种选育和性能测定；引进、筛选和示范推广</w:t>
      </w:r>
      <w:r>
        <w:rPr>
          <w:rFonts w:hint="eastAsia" w:ascii="仿宋_GB2312" w:hAnsi="仿宋_GB2312" w:eastAsia="仿宋_GB2312" w:cs="仿宋_GB2312"/>
          <w:sz w:val="32"/>
          <w:szCs w:val="32"/>
          <w:lang w:val="en-US" w:eastAsia="zh-CN"/>
        </w:rPr>
        <w:t>四翅滨藜等</w:t>
      </w:r>
      <w:r>
        <w:rPr>
          <w:rFonts w:hint="eastAsia" w:ascii="仿宋_GB2312" w:hAnsi="仿宋_GB2312" w:eastAsia="仿宋_GB2312" w:cs="仿宋_GB2312"/>
          <w:sz w:val="32"/>
          <w:szCs w:val="32"/>
          <w:lang w:eastAsia="zh-CN"/>
        </w:rPr>
        <w:t>适合本地的高效饲草、特色果蔬新品种。</w:t>
      </w:r>
    </w:p>
    <w:p w14:paraId="7F5C1E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智慧农业技术应用：</w:t>
      </w:r>
      <w:r>
        <w:rPr>
          <w:rFonts w:hint="eastAsia" w:ascii="仿宋_GB2312" w:hAnsi="仿宋_GB2312" w:eastAsia="仿宋_GB2312" w:cs="仿宋_GB2312"/>
          <w:sz w:val="32"/>
          <w:szCs w:val="32"/>
          <w:lang w:eastAsia="zh-CN"/>
        </w:rPr>
        <w:t>推广水肥一体化智能灌溉、无人机植保、农业物联网、卫星遥感监测等技术，</w:t>
      </w:r>
      <w:r>
        <w:rPr>
          <w:rFonts w:hint="eastAsia" w:ascii="仿宋_GB2312" w:hAnsi="仿宋_GB2312" w:eastAsia="仿宋_GB2312" w:cs="仿宋_GB2312"/>
          <w:sz w:val="32"/>
          <w:szCs w:val="32"/>
          <w:lang w:val="en-US" w:eastAsia="zh-CN"/>
        </w:rPr>
        <w:t>围绕特色产业</w:t>
      </w:r>
      <w:r>
        <w:rPr>
          <w:rFonts w:hint="eastAsia" w:ascii="仿宋_GB2312" w:hAnsi="仿宋_GB2312" w:eastAsia="仿宋_GB2312" w:cs="仿宋_GB2312"/>
          <w:sz w:val="32"/>
          <w:szCs w:val="32"/>
          <w:lang w:eastAsia="zh-CN"/>
        </w:rPr>
        <w:t>建设3个智慧农场示范点。</w:t>
      </w:r>
    </w:p>
    <w:p w14:paraId="2F883A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农产品精深加工与质量安全：</w:t>
      </w:r>
      <w:r>
        <w:rPr>
          <w:rFonts w:hint="eastAsia" w:ascii="仿宋_GB2312" w:hAnsi="仿宋_GB2312" w:eastAsia="仿宋_GB2312" w:cs="仿宋_GB2312"/>
          <w:sz w:val="32"/>
          <w:szCs w:val="32"/>
          <w:lang w:eastAsia="zh-CN"/>
        </w:rPr>
        <w:t>研发驴奶</w:t>
      </w:r>
      <w:r>
        <w:rPr>
          <w:rFonts w:hint="eastAsia" w:ascii="仿宋_GB2312" w:hAnsi="仿宋_GB2312" w:eastAsia="仿宋_GB2312" w:cs="仿宋_GB2312"/>
          <w:sz w:val="32"/>
          <w:szCs w:val="32"/>
          <w:lang w:val="en-US" w:eastAsia="zh-CN"/>
        </w:rPr>
        <w:t>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羊</w:t>
      </w:r>
      <w:r>
        <w:rPr>
          <w:rFonts w:hint="eastAsia" w:ascii="仿宋_GB2312" w:hAnsi="仿宋_GB2312" w:eastAsia="仿宋_GB2312" w:cs="仿宋_GB2312"/>
          <w:sz w:val="32"/>
          <w:szCs w:val="32"/>
          <w:lang w:eastAsia="zh-CN"/>
        </w:rPr>
        <w:t>肉、</w:t>
      </w:r>
      <w:r>
        <w:rPr>
          <w:rFonts w:hint="eastAsia" w:ascii="仿宋_GB2312" w:hAnsi="仿宋_GB2312" w:eastAsia="仿宋_GB2312" w:cs="仿宋_GB2312"/>
          <w:sz w:val="32"/>
          <w:szCs w:val="32"/>
          <w:lang w:val="en-US" w:eastAsia="zh-CN"/>
        </w:rPr>
        <w:t>中药材及</w:t>
      </w:r>
      <w:r>
        <w:rPr>
          <w:rFonts w:hint="eastAsia" w:ascii="仿宋_GB2312" w:hAnsi="仿宋_GB2312" w:eastAsia="仿宋_GB2312" w:cs="仿宋_GB2312"/>
          <w:sz w:val="32"/>
          <w:szCs w:val="32"/>
          <w:lang w:eastAsia="zh-CN"/>
        </w:rPr>
        <w:t>特色果品的保鲜、功能性成分提取、高值化利用技术；建立从田间到餐桌的全产业链质量安全追溯技术体系，推广应用区块链溯源平台。</w:t>
      </w:r>
    </w:p>
    <w:p w14:paraId="0195BE3D">
      <w:pPr>
        <w:pStyle w:val="5"/>
        <w:bidi w:val="0"/>
        <w:ind w:firstLine="560" w:firstLineChars="200"/>
        <w:rPr>
          <w:rFonts w:hint="eastAsia"/>
          <w:lang w:eastAsia="zh-CN"/>
        </w:rPr>
      </w:pPr>
      <w:bookmarkStart w:id="31" w:name="_Toc25216"/>
      <w:bookmarkStart w:id="32" w:name="_Toc25508"/>
      <w:r>
        <w:rPr>
          <w:rFonts w:hint="eastAsia"/>
          <w:lang w:eastAsia="zh-CN"/>
        </w:rPr>
        <w:t>2.中医药大健康产业创新工程：</w:t>
      </w:r>
      <w:bookmarkEnd w:id="31"/>
      <w:bookmarkEnd w:id="32"/>
    </w:p>
    <w:p w14:paraId="0B5CED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color w:val="auto"/>
          <w:sz w:val="32"/>
          <w:szCs w:val="32"/>
          <w:lang w:val="en-US" w:eastAsia="zh-CN"/>
        </w:rPr>
        <w:t>中药材生态种植（GAP）：</w:t>
      </w:r>
      <w:r>
        <w:rPr>
          <w:rFonts w:hint="eastAsia" w:ascii="仿宋_GB2312" w:hAnsi="仿宋_GB2312" w:eastAsia="仿宋_GB2312" w:cs="仿宋_GB2312"/>
          <w:sz w:val="32"/>
          <w:szCs w:val="32"/>
          <w:lang w:eastAsia="zh-CN"/>
        </w:rPr>
        <w:t>突破</w:t>
      </w:r>
      <w:r>
        <w:rPr>
          <w:rFonts w:hint="eastAsia" w:ascii="仿宋_GB2312" w:hAnsi="仿宋_GB2312" w:eastAsia="仿宋_GB2312" w:cs="仿宋_GB2312"/>
          <w:sz w:val="32"/>
          <w:szCs w:val="32"/>
          <w:lang w:val="en-US" w:eastAsia="zh-CN"/>
        </w:rPr>
        <w:t>瓜蒌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西（藏）红花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葛根、肉苁蓉</w:t>
      </w:r>
      <w:r>
        <w:rPr>
          <w:rFonts w:hint="eastAsia" w:ascii="仿宋_GB2312" w:hAnsi="仿宋_GB2312" w:eastAsia="仿宋_GB2312" w:cs="仿宋_GB2312"/>
          <w:sz w:val="32"/>
          <w:szCs w:val="32"/>
          <w:lang w:eastAsia="zh-CN"/>
        </w:rPr>
        <w:t>等药材的生态种植、病虫草害绿色防控、连作障碍克服等关键技术，制定标准化生产技术规程。</w:t>
      </w:r>
      <w:r>
        <w:rPr>
          <w:rFonts w:hint="eastAsia" w:ascii="仿宋_GB2312" w:hAnsi="仿宋_GB2312" w:eastAsia="仿宋_GB2312" w:cs="仿宋_GB2312"/>
          <w:sz w:val="32"/>
          <w:szCs w:val="32"/>
          <w:lang w:val="en-US" w:eastAsia="zh-CN"/>
        </w:rPr>
        <w:t>积极推动克里阳雪菊列入国家保健品名录工作。</w:t>
      </w:r>
    </w:p>
    <w:p w14:paraId="10F3B0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中（维）药传承与创新：</w:t>
      </w:r>
      <w:r>
        <w:rPr>
          <w:rFonts w:hint="eastAsia" w:ascii="仿宋_GB2312" w:hAnsi="仿宋_GB2312" w:eastAsia="仿宋_GB2312" w:cs="仿宋_GB2312"/>
          <w:sz w:val="32"/>
          <w:szCs w:val="32"/>
          <w:lang w:eastAsia="zh-CN"/>
        </w:rPr>
        <w:t>支持企业与科研机构合作，开展</w:t>
      </w:r>
      <w:r>
        <w:rPr>
          <w:rFonts w:hint="eastAsia" w:ascii="仿宋_GB2312" w:hAnsi="仿宋_GB2312" w:eastAsia="仿宋_GB2312" w:cs="仿宋_GB2312"/>
          <w:sz w:val="32"/>
          <w:szCs w:val="32"/>
          <w:lang w:val="en-US" w:eastAsia="zh-CN"/>
        </w:rPr>
        <w:t>中（</w:t>
      </w:r>
      <w:r>
        <w:rPr>
          <w:rFonts w:hint="eastAsia" w:ascii="仿宋_GB2312" w:hAnsi="仿宋_GB2312" w:eastAsia="仿宋_GB2312" w:cs="仿宋_GB2312"/>
          <w:sz w:val="32"/>
          <w:szCs w:val="32"/>
          <w:lang w:eastAsia="zh-CN"/>
        </w:rPr>
        <w:t>维</w:t>
      </w:r>
      <w:r>
        <w:rPr>
          <w:rFonts w:hint="eastAsia" w:ascii="仿宋_GB2312" w:hAnsi="仿宋_GB2312" w:eastAsia="仿宋_GB2312" w:cs="仿宋_GB2312"/>
          <w:sz w:val="32"/>
          <w:szCs w:val="32"/>
          <w:lang w:val="en-US" w:eastAsia="zh-CN"/>
        </w:rPr>
        <w:t>）医</w:t>
      </w:r>
      <w:r>
        <w:rPr>
          <w:rFonts w:hint="eastAsia" w:ascii="仿宋_GB2312" w:hAnsi="仿宋_GB2312" w:eastAsia="仿宋_GB2312" w:cs="仿宋_GB2312"/>
          <w:sz w:val="32"/>
          <w:szCs w:val="32"/>
          <w:lang w:eastAsia="zh-CN"/>
        </w:rPr>
        <w:t>药经典方剂的挖掘整理、药效物质基础研究、作用机理现代化阐释；开发医院制剂、保健食品、化妆品等大健康产品。</w:t>
      </w:r>
    </w:p>
    <w:p w14:paraId="25159D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中（维）医药服务能力提升：</w:t>
      </w:r>
      <w:r>
        <w:rPr>
          <w:rFonts w:hint="eastAsia" w:ascii="仿宋_GB2312" w:hAnsi="仿宋_GB2312" w:eastAsia="仿宋_GB2312" w:cs="仿宋_GB2312"/>
          <w:sz w:val="32"/>
          <w:szCs w:val="32"/>
          <w:lang w:eastAsia="zh-CN"/>
        </w:rPr>
        <w:t>探索“互联网+中（</w:t>
      </w:r>
      <w:r>
        <w:rPr>
          <w:rFonts w:hint="eastAsia" w:ascii="仿宋_GB2312" w:hAnsi="仿宋_GB2312" w:eastAsia="仿宋_GB2312" w:cs="仿宋_GB2312"/>
          <w:sz w:val="32"/>
          <w:szCs w:val="32"/>
          <w:lang w:val="en-US" w:eastAsia="zh-CN"/>
        </w:rPr>
        <w:t>维</w:t>
      </w:r>
      <w:r>
        <w:rPr>
          <w:rFonts w:hint="eastAsia" w:ascii="仿宋_GB2312" w:hAnsi="仿宋_GB2312" w:eastAsia="仿宋_GB2312" w:cs="仿宋_GB2312"/>
          <w:sz w:val="32"/>
          <w:szCs w:val="32"/>
          <w:lang w:eastAsia="zh-CN"/>
        </w:rPr>
        <w:t>）医药健康服务”模式，推动人工智能辅助诊断、智慧药房等技术在基层医疗机构的应用。</w:t>
      </w:r>
    </w:p>
    <w:p w14:paraId="0B30177E">
      <w:pPr>
        <w:pStyle w:val="5"/>
        <w:bidi w:val="0"/>
        <w:ind w:firstLine="560" w:firstLineChars="200"/>
        <w:rPr>
          <w:rFonts w:hint="eastAsia"/>
          <w:lang w:eastAsia="zh-CN"/>
        </w:rPr>
      </w:pPr>
      <w:bookmarkStart w:id="33" w:name="_Toc21009"/>
      <w:bookmarkStart w:id="34" w:name="_Toc3929"/>
      <w:r>
        <w:rPr>
          <w:rFonts w:hint="eastAsia"/>
          <w:lang w:eastAsia="zh-CN"/>
        </w:rPr>
        <w:t>3.攻关生态治理科技与沙漠资源化利用：</w:t>
      </w:r>
      <w:bookmarkEnd w:id="33"/>
      <w:bookmarkEnd w:id="34"/>
    </w:p>
    <w:p w14:paraId="1F5A7E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eastAsia="zh-CN"/>
        </w:rPr>
        <w:t>针对皮山县沙漠化防治和生态建设的迫切需求，积极开展生态治理技术研发与示范。重点推进"沙漠锁边"科技创新工程，研发推广抗逆性强、经济价值高的荒漠植物种植技术，构建乔灌草相结合的防护体系。与</w:t>
      </w:r>
      <w:r>
        <w:rPr>
          <w:rFonts w:hint="eastAsia" w:ascii="仿宋_GB2312" w:hAnsi="仿宋_GB2312" w:eastAsia="仿宋_GB2312" w:cs="仿宋_GB2312"/>
          <w:sz w:val="32"/>
          <w:szCs w:val="32"/>
          <w:lang w:val="en-US" w:eastAsia="zh-CN"/>
        </w:rPr>
        <w:t>国家林科院、</w:t>
      </w:r>
      <w:r>
        <w:rPr>
          <w:rFonts w:hint="eastAsia" w:ascii="仿宋_GB2312" w:hAnsi="仿宋_GB2312" w:eastAsia="仿宋_GB2312" w:cs="仿宋_GB2312"/>
          <w:sz w:val="32"/>
          <w:szCs w:val="32"/>
          <w:lang w:eastAsia="zh-CN"/>
        </w:rPr>
        <w:t>中国科学院新疆生态与地理研究所等科研机构合作，引进和开发新型节水固沙技术、生物固沙技术等，提高植被成活率和生长速度。</w:t>
      </w:r>
      <w:r>
        <w:rPr>
          <w:rFonts w:hint="eastAsia" w:ascii="仿宋_GB2312" w:hAnsi="仿宋_GB2312" w:eastAsia="仿宋_GB2312" w:cs="仿宋_GB2312"/>
          <w:color w:val="auto"/>
          <w:sz w:val="32"/>
          <w:szCs w:val="32"/>
          <w:lang w:eastAsia="zh-CN"/>
        </w:rPr>
        <w:t>建设沙漠生态监测网络，运用遥感、物联网等技术手段，实时监测生态环境变化，为生态治理提供数据支撑。</w:t>
      </w:r>
    </w:p>
    <w:p w14:paraId="7DB89553">
      <w:pPr>
        <w:pStyle w:val="5"/>
        <w:bidi w:val="0"/>
        <w:ind w:firstLine="560" w:firstLineChars="200"/>
        <w:rPr>
          <w:rFonts w:hint="eastAsia"/>
          <w:lang w:eastAsia="zh-CN"/>
        </w:rPr>
      </w:pPr>
      <w:bookmarkStart w:id="35" w:name="_Toc27646"/>
      <w:r>
        <w:rPr>
          <w:rFonts w:hint="eastAsia"/>
          <w:lang w:val="en-US" w:eastAsia="zh-CN"/>
        </w:rPr>
        <w:t>4</w:t>
      </w:r>
      <w:r>
        <w:rPr>
          <w:rFonts w:hint="eastAsia"/>
          <w:lang w:eastAsia="zh-CN"/>
        </w:rPr>
        <w:t>.开展矿产资源绿色开发与利用创新：</w:t>
      </w:r>
      <w:bookmarkEnd w:id="35"/>
    </w:p>
    <w:p w14:paraId="12A1BE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依托皮山县矿产资源禀赋，开展绿色勘查开发技术研发与应用。重点针对优势矿种，攻关绿色选矿技术、尾矿综合利用技术和矿山生态修复技术，降低矿产资源开发的环境影响。建设皮山县矿产资源大数据平台，集成地质数据、矿权信息、环境监测等数据，实现矿产资源管理的数字化和智能化。</w:t>
      </w:r>
    </w:p>
    <w:p w14:paraId="45D04F61">
      <w:pPr>
        <w:pStyle w:val="5"/>
        <w:bidi w:val="0"/>
        <w:ind w:firstLine="560" w:firstLineChars="200"/>
        <w:rPr>
          <w:rFonts w:hint="eastAsia"/>
          <w:lang w:eastAsia="zh-CN"/>
        </w:rPr>
      </w:pPr>
      <w:bookmarkStart w:id="36" w:name="_Toc14770"/>
      <w:bookmarkStart w:id="37" w:name="_Toc4947"/>
      <w:r>
        <w:rPr>
          <w:rFonts w:hint="eastAsia"/>
          <w:lang w:val="en-US" w:eastAsia="zh-CN"/>
        </w:rPr>
        <w:t>5</w:t>
      </w:r>
      <w:r>
        <w:rPr>
          <w:rFonts w:hint="eastAsia"/>
          <w:lang w:eastAsia="zh-CN"/>
        </w:rPr>
        <w:t>.数字经济融合赋能工程：</w:t>
      </w:r>
      <w:bookmarkEnd w:id="36"/>
      <w:bookmarkEnd w:id="37"/>
    </w:p>
    <w:p w14:paraId="23FE0F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产业数字化：</w:t>
      </w:r>
      <w:r>
        <w:rPr>
          <w:rFonts w:hint="eastAsia" w:ascii="仿宋_GB2312" w:hAnsi="仿宋_GB2312" w:eastAsia="仿宋_GB2312" w:cs="仿宋_GB2312"/>
          <w:sz w:val="32"/>
          <w:szCs w:val="32"/>
          <w:lang w:eastAsia="zh-CN"/>
        </w:rPr>
        <w:t>推动工业企业“上云用数赋智”，开展数字化车间、智能工厂试点。鼓励商贸企业利用电商平台拓展市场。</w:t>
      </w:r>
    </w:p>
    <w:p w14:paraId="16E2AD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数字产业化：</w:t>
      </w:r>
      <w:r>
        <w:rPr>
          <w:rFonts w:hint="eastAsia" w:ascii="仿宋_GB2312" w:hAnsi="仿宋_GB2312" w:eastAsia="仿宋_GB2312" w:cs="仿宋_GB2312"/>
          <w:sz w:val="32"/>
          <w:szCs w:val="32"/>
          <w:lang w:eastAsia="zh-CN"/>
        </w:rPr>
        <w:t>探索发展数字内容、远程服务等新业态，鼓励企业进行数据开发利用。</w:t>
      </w:r>
    </w:p>
    <w:p w14:paraId="5290F9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社会治理数字化：</w:t>
      </w:r>
      <w:r>
        <w:rPr>
          <w:rFonts w:hint="eastAsia" w:ascii="仿宋_GB2312" w:hAnsi="仿宋_GB2312" w:eastAsia="仿宋_GB2312" w:cs="仿宋_GB2312"/>
          <w:sz w:val="32"/>
          <w:szCs w:val="32"/>
          <w:lang w:eastAsia="zh-CN"/>
        </w:rPr>
        <w:t>深化“互联网+政务服务”，推动更多事项“一网通办”。建设城市运行管理平台，提升交通、应急、治安管理的智能化水平。</w:t>
      </w:r>
    </w:p>
    <w:p w14:paraId="0E2DDB02">
      <w:pPr>
        <w:pStyle w:val="5"/>
        <w:bidi w:val="0"/>
        <w:ind w:firstLine="560" w:firstLineChars="200"/>
        <w:rPr>
          <w:rFonts w:hint="eastAsia"/>
          <w:lang w:eastAsia="zh-CN"/>
        </w:rPr>
      </w:pPr>
      <w:bookmarkStart w:id="38" w:name="_Toc23772"/>
      <w:bookmarkStart w:id="39" w:name="_Toc24244"/>
      <w:r>
        <w:rPr>
          <w:rFonts w:hint="eastAsia"/>
          <w:lang w:val="en-US" w:eastAsia="zh-CN"/>
        </w:rPr>
        <w:t>6</w:t>
      </w:r>
      <w:r>
        <w:rPr>
          <w:rFonts w:hint="eastAsia"/>
          <w:lang w:eastAsia="zh-CN"/>
        </w:rPr>
        <w:t>.实施科技企业梯度培育“繁星计划”：</w:t>
      </w:r>
      <w:bookmarkEnd w:id="38"/>
      <w:bookmarkEnd w:id="39"/>
    </w:p>
    <w:p w14:paraId="7823E7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“种子期”孵化</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对初创科技企业，提供租金减免、创业辅导、种子资金支持，使其“活下来”。</w:t>
      </w:r>
    </w:p>
    <w:p w14:paraId="22CECE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“成长期”扶持：</w:t>
      </w:r>
      <w:r>
        <w:rPr>
          <w:rFonts w:hint="eastAsia" w:ascii="仿宋_GB2312" w:hAnsi="仿宋_GB2312" w:eastAsia="仿宋_GB2312" w:cs="仿宋_GB2312"/>
          <w:sz w:val="32"/>
          <w:szCs w:val="32"/>
          <w:lang w:eastAsia="zh-CN"/>
        </w:rPr>
        <w:t>对科技型中小企业，通过</w:t>
      </w:r>
      <w:r>
        <w:rPr>
          <w:rFonts w:hint="eastAsia" w:ascii="仿宋_GB2312" w:hAnsi="仿宋_GB2312" w:eastAsia="仿宋_GB2312" w:cs="仿宋_GB2312"/>
          <w:sz w:val="32"/>
          <w:szCs w:val="32"/>
          <w:lang w:val="en-US" w:eastAsia="zh-CN"/>
        </w:rPr>
        <w:t>科技项目引导、</w:t>
      </w:r>
      <w:r>
        <w:rPr>
          <w:rFonts w:hint="eastAsia" w:ascii="仿宋_GB2312" w:hAnsi="仿宋_GB2312" w:eastAsia="仿宋_GB2312" w:cs="仿宋_GB2312"/>
          <w:sz w:val="32"/>
          <w:szCs w:val="32"/>
          <w:lang w:eastAsia="zh-CN"/>
        </w:rPr>
        <w:t>研发费用后补助等方式，引导其加大研发投入，使其“长起来”。</w:t>
      </w:r>
    </w:p>
    <w:p w14:paraId="15AD9A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“成熟期”壮大：</w:t>
      </w:r>
      <w:r>
        <w:rPr>
          <w:rFonts w:hint="eastAsia" w:ascii="仿宋_GB2312" w:hAnsi="仿宋_GB2312" w:eastAsia="仿宋_GB2312" w:cs="仿宋_GB2312"/>
          <w:sz w:val="32"/>
          <w:szCs w:val="32"/>
          <w:lang w:eastAsia="zh-CN"/>
        </w:rPr>
        <w:t>对高新技术企业，支持其承担重大项目、建设研发平台、参与标准制定，使其“强起来”。目标形成“微成长、小升高、高变强”的良性梯队。</w:t>
      </w:r>
    </w:p>
    <w:p w14:paraId="1D856398">
      <w:pPr>
        <w:pStyle w:val="5"/>
        <w:bidi w:val="0"/>
        <w:ind w:firstLine="560" w:firstLineChars="200"/>
        <w:rPr>
          <w:rFonts w:hint="eastAsia"/>
          <w:lang w:eastAsia="zh-CN"/>
        </w:rPr>
      </w:pPr>
      <w:bookmarkStart w:id="40" w:name="_Toc26881"/>
      <w:bookmarkStart w:id="41" w:name="_Toc29010"/>
      <w:r>
        <w:rPr>
          <w:rFonts w:hint="eastAsia"/>
          <w:lang w:val="en-US" w:eastAsia="zh-CN"/>
        </w:rPr>
        <w:t>7</w:t>
      </w:r>
      <w:r>
        <w:rPr>
          <w:rFonts w:hint="eastAsia"/>
          <w:lang w:eastAsia="zh-CN"/>
        </w:rPr>
        <w:t>.打造“皮山智造”品牌行动：</w:t>
      </w:r>
      <w:bookmarkEnd w:id="40"/>
      <w:bookmarkEnd w:id="41"/>
    </w:p>
    <w:p w14:paraId="79B8F1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质量品牌提升：</w:t>
      </w:r>
      <w:r>
        <w:rPr>
          <w:rFonts w:hint="eastAsia" w:ascii="仿宋_GB2312" w:hAnsi="仿宋_GB2312" w:eastAsia="仿宋_GB2312" w:cs="仿宋_GB2312"/>
          <w:sz w:val="32"/>
          <w:szCs w:val="32"/>
          <w:lang w:eastAsia="zh-CN"/>
        </w:rPr>
        <w:t>支持企业开展质量管理体系认证、商标注册、品牌培育。集中力量打造“皮山红羊”、“</w:t>
      </w:r>
      <w:r>
        <w:rPr>
          <w:rFonts w:hint="eastAsia" w:ascii="仿宋_GB2312" w:hAnsi="仿宋_GB2312" w:eastAsia="仿宋_GB2312" w:cs="仿宋_GB2312"/>
          <w:sz w:val="32"/>
          <w:szCs w:val="32"/>
          <w:lang w:val="en-US" w:eastAsia="zh-CN"/>
        </w:rPr>
        <w:t>徽相印瓜蒌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克里阳雪菊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皮亚曼石榴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及“花各一方”西（藏）红花</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特色农产品</w:t>
      </w:r>
      <w:r>
        <w:rPr>
          <w:rFonts w:hint="eastAsia" w:ascii="仿宋_GB2312" w:hAnsi="仿宋_GB2312" w:eastAsia="仿宋_GB2312" w:cs="仿宋_GB2312"/>
          <w:sz w:val="32"/>
          <w:szCs w:val="32"/>
          <w:lang w:eastAsia="zh-CN"/>
        </w:rPr>
        <w:t>品牌。</w:t>
      </w:r>
    </w:p>
    <w:p w14:paraId="036669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标准引领：</w:t>
      </w:r>
      <w:r>
        <w:rPr>
          <w:rFonts w:hint="eastAsia" w:ascii="仿宋_GB2312" w:hAnsi="仿宋_GB2312" w:eastAsia="仿宋_GB2312" w:cs="仿宋_GB2312"/>
          <w:sz w:val="32"/>
          <w:szCs w:val="32"/>
          <w:lang w:eastAsia="zh-CN"/>
        </w:rPr>
        <w:t>鼓励企业、行业协会主导或参与制定国家、行业、地方和团体标准，以先进标准引领产品质量提升和产业升级。</w:t>
      </w:r>
    </w:p>
    <w:p w14:paraId="1AD2570B">
      <w:pPr>
        <w:pStyle w:val="5"/>
        <w:bidi w:val="0"/>
        <w:ind w:firstLine="560" w:firstLineChars="200"/>
        <w:rPr>
          <w:rFonts w:hint="eastAsia"/>
          <w:lang w:eastAsia="zh-CN"/>
        </w:rPr>
      </w:pPr>
      <w:bookmarkStart w:id="42" w:name="_Toc25371"/>
      <w:bookmarkStart w:id="43" w:name="_Toc21588"/>
      <w:r>
        <w:rPr>
          <w:rFonts w:hint="eastAsia"/>
          <w:lang w:val="en-US" w:eastAsia="zh-CN"/>
        </w:rPr>
        <w:t>8</w:t>
      </w:r>
      <w:r>
        <w:rPr>
          <w:rFonts w:hint="eastAsia"/>
          <w:lang w:eastAsia="zh-CN"/>
        </w:rPr>
        <w:t>.实施“皮山英才”计划：</w:t>
      </w:r>
      <w:bookmarkEnd w:id="42"/>
      <w:bookmarkEnd w:id="43"/>
    </w:p>
    <w:p w14:paraId="6E2DF2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顶尖领军人才“引领行动”：</w:t>
      </w:r>
      <w:r>
        <w:rPr>
          <w:rFonts w:hint="eastAsia" w:ascii="仿宋_GB2312" w:hAnsi="仿宋_GB2312" w:eastAsia="仿宋_GB2312" w:cs="仿宋_GB2312"/>
          <w:sz w:val="32"/>
          <w:szCs w:val="32"/>
          <w:lang w:eastAsia="zh-CN"/>
        </w:rPr>
        <w:t>采用“一事一议、特事特办”的方式，面向全</w:t>
      </w:r>
      <w:r>
        <w:rPr>
          <w:rFonts w:hint="eastAsia" w:ascii="仿宋_GB2312" w:hAnsi="仿宋_GB2312" w:eastAsia="仿宋_GB2312" w:cs="仿宋_GB2312"/>
          <w:sz w:val="32"/>
          <w:szCs w:val="32"/>
          <w:lang w:val="en-US" w:eastAsia="zh-CN"/>
        </w:rPr>
        <w:t>国</w:t>
      </w:r>
      <w:r>
        <w:rPr>
          <w:rFonts w:hint="eastAsia" w:ascii="仿宋_GB2312" w:hAnsi="仿宋_GB2312" w:eastAsia="仿宋_GB2312" w:cs="仿宋_GB2312"/>
          <w:sz w:val="32"/>
          <w:szCs w:val="32"/>
          <w:lang w:eastAsia="zh-CN"/>
        </w:rPr>
        <w:t>精准引进能够突破关键技术、带动产业发展的战略科学家和科技领军人才及团队。</w:t>
      </w:r>
    </w:p>
    <w:p w14:paraId="4FDB8F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青年科技人才“储备行动”：</w:t>
      </w:r>
      <w:r>
        <w:rPr>
          <w:rFonts w:hint="eastAsia" w:ascii="仿宋_GB2312" w:hAnsi="仿宋_GB2312" w:eastAsia="仿宋_GB2312" w:cs="仿宋_GB2312"/>
          <w:sz w:val="32"/>
          <w:szCs w:val="32"/>
          <w:lang w:val="en-US" w:eastAsia="zh-CN"/>
        </w:rPr>
        <w:t>以项目引导的方式</w:t>
      </w:r>
      <w:r>
        <w:rPr>
          <w:rFonts w:hint="eastAsia" w:ascii="仿宋_GB2312" w:hAnsi="仿宋_GB2312" w:eastAsia="仿宋_GB2312" w:cs="仿宋_GB2312"/>
          <w:sz w:val="32"/>
          <w:szCs w:val="32"/>
          <w:lang w:eastAsia="zh-CN"/>
        </w:rPr>
        <w:t>，支持40岁以下青年科技人才开展自主选题研究，与内地高校合作，建立</w:t>
      </w:r>
      <w:r>
        <w:rPr>
          <w:rFonts w:hint="eastAsia" w:ascii="仿宋_GB2312" w:hAnsi="仿宋_GB2312" w:eastAsia="仿宋_GB2312" w:cs="仿宋_GB2312"/>
          <w:sz w:val="32"/>
          <w:szCs w:val="32"/>
          <w:lang w:val="en-US" w:eastAsia="zh-CN"/>
        </w:rPr>
        <w:t>硕士、博士及</w:t>
      </w:r>
      <w:r>
        <w:rPr>
          <w:rFonts w:hint="eastAsia" w:ascii="仿宋_GB2312" w:hAnsi="仿宋_GB2312" w:eastAsia="仿宋_GB2312" w:cs="仿宋_GB2312"/>
          <w:sz w:val="32"/>
          <w:szCs w:val="32"/>
          <w:lang w:eastAsia="zh-CN"/>
        </w:rPr>
        <w:t>博士后创新实践基地。</w:t>
      </w:r>
    </w:p>
    <w:p w14:paraId="1A8172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产业工程师“汇聚行动”：</w:t>
      </w:r>
      <w:r>
        <w:rPr>
          <w:rFonts w:hint="eastAsia" w:ascii="仿宋_GB2312" w:hAnsi="仿宋_GB2312" w:eastAsia="仿宋_GB2312" w:cs="仿宋_GB2312"/>
          <w:sz w:val="32"/>
          <w:szCs w:val="32"/>
          <w:lang w:eastAsia="zh-CN"/>
        </w:rPr>
        <w:t>重点引进和培养一批精通技术、善于管理的卓越工程师和高技能人才。</w:t>
      </w:r>
    </w:p>
    <w:p w14:paraId="6F757F70">
      <w:pPr>
        <w:pStyle w:val="5"/>
        <w:bidi w:val="0"/>
        <w:ind w:firstLine="560" w:firstLineChars="200"/>
        <w:rPr>
          <w:rFonts w:hint="eastAsia"/>
          <w:lang w:eastAsia="zh-CN"/>
        </w:rPr>
      </w:pPr>
      <w:bookmarkStart w:id="44" w:name="_Toc20739"/>
      <w:bookmarkStart w:id="45" w:name="_Toc11128"/>
      <w:r>
        <w:rPr>
          <w:rFonts w:hint="eastAsia"/>
          <w:lang w:val="en-US" w:eastAsia="zh-CN"/>
        </w:rPr>
        <w:t>9</w:t>
      </w:r>
      <w:r>
        <w:rPr>
          <w:rFonts w:hint="eastAsia"/>
          <w:lang w:eastAsia="zh-CN"/>
        </w:rPr>
        <w:t>.深化本土人才培养“扎根工程”：</w:t>
      </w:r>
      <w:bookmarkEnd w:id="44"/>
      <w:bookmarkEnd w:id="45"/>
    </w:p>
    <w:p w14:paraId="25AAAA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“科技特派员+”升级版：</w:t>
      </w:r>
      <w:r>
        <w:rPr>
          <w:rFonts w:hint="eastAsia" w:ascii="仿宋_GB2312" w:hAnsi="仿宋_GB2312" w:eastAsia="仿宋_GB2312" w:cs="仿宋_GB2312"/>
          <w:sz w:val="32"/>
          <w:szCs w:val="32"/>
          <w:lang w:eastAsia="zh-CN"/>
        </w:rPr>
        <w:t>推动科技特派员从个人服务向团队服务、建站服务转变，从技术服务向创业服务、产业服务拓展。探索“科技特派员+合作社+农户”的利益共同体模式。</w:t>
      </w:r>
    </w:p>
    <w:p w14:paraId="5BA5C6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“乡土专家”培育计划：</w:t>
      </w:r>
      <w:r>
        <w:rPr>
          <w:rFonts w:hint="eastAsia" w:ascii="仿宋_GB2312" w:hAnsi="仿宋_GB2312" w:eastAsia="仿宋_GB2312" w:cs="仿宋_GB2312"/>
          <w:sz w:val="32"/>
          <w:szCs w:val="32"/>
          <w:lang w:eastAsia="zh-CN"/>
        </w:rPr>
        <w:t>每年评选一批“皮山工匠”、“乡村之星”，给予表彰和奖励，</w:t>
      </w:r>
      <w:r>
        <w:rPr>
          <w:rFonts w:hint="eastAsia" w:ascii="仿宋_GB2312" w:hAnsi="仿宋_GB2312" w:eastAsia="仿宋_GB2312" w:cs="仿宋_GB2312"/>
          <w:sz w:val="32"/>
          <w:szCs w:val="32"/>
          <w:lang w:val="en-US" w:eastAsia="zh-CN"/>
        </w:rPr>
        <w:t>并通过与援疆省份高校的联培联训，提升其技术服务水平和学历，</w:t>
      </w:r>
      <w:r>
        <w:rPr>
          <w:rFonts w:hint="eastAsia" w:ascii="仿宋_GB2312" w:hAnsi="仿宋_GB2312" w:eastAsia="仿宋_GB2312" w:cs="仿宋_GB2312"/>
          <w:sz w:val="32"/>
          <w:szCs w:val="32"/>
          <w:lang w:eastAsia="zh-CN"/>
        </w:rPr>
        <w:t>发挥示范带动作用。</w:t>
      </w:r>
    </w:p>
    <w:p w14:paraId="341C39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color w:val="auto"/>
          <w:sz w:val="32"/>
          <w:szCs w:val="32"/>
          <w:lang w:val="en-US" w:eastAsia="zh-CN"/>
        </w:rPr>
        <w:t>校企合作订单培养：</w:t>
      </w:r>
      <w:r>
        <w:rPr>
          <w:rFonts w:hint="eastAsia" w:ascii="仿宋_GB2312" w:hAnsi="仿宋_GB2312" w:eastAsia="仿宋_GB2312" w:cs="仿宋_GB2312"/>
          <w:sz w:val="32"/>
          <w:szCs w:val="32"/>
          <w:lang w:eastAsia="zh-CN"/>
        </w:rPr>
        <w:t>深化皮山技工学校、职业高中与企业的合作，推行“招生即招工、入校即入企”的现代学徒制，培养“用得上、留得住”的技能人才。</w:t>
      </w:r>
    </w:p>
    <w:p w14:paraId="63B8BE8D">
      <w:pPr>
        <w:pStyle w:val="4"/>
        <w:bidi w:val="0"/>
        <w:ind w:firstLine="600" w:firstLineChars="200"/>
        <w:rPr>
          <w:rFonts w:hint="default"/>
          <w:lang w:val="en-US" w:eastAsia="zh-CN"/>
        </w:rPr>
      </w:pPr>
      <w:bookmarkStart w:id="46" w:name="_Toc15673"/>
      <w:bookmarkStart w:id="47" w:name="_Toc5424"/>
      <w:r>
        <w:rPr>
          <w:rFonts w:hint="eastAsia"/>
          <w:lang w:val="en-US" w:eastAsia="zh-CN"/>
        </w:rPr>
        <w:t>（四）深化科技开放合作，</w:t>
      </w:r>
      <w:bookmarkEnd w:id="46"/>
      <w:r>
        <w:rPr>
          <w:rFonts w:hint="eastAsia"/>
          <w:lang w:val="en-US" w:eastAsia="zh-CN"/>
        </w:rPr>
        <w:t>推动科技援疆体系化、系统化建设</w:t>
      </w:r>
      <w:bookmarkEnd w:id="47"/>
    </w:p>
    <w:p w14:paraId="542E0F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以更加开放的思维和举措，在更大范围、更宽领域、更深层次配置创新资源。</w:t>
      </w:r>
    </w:p>
    <w:p w14:paraId="0A3D12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楷体" w:hAnsi="楷体" w:eastAsia="楷体" w:cs="楷体"/>
          <w:color w:val="auto"/>
          <w:sz w:val="32"/>
          <w:szCs w:val="32"/>
          <w:lang w:eastAsia="zh-CN"/>
        </w:rPr>
        <w:t>从“输血”到“造血”</w:t>
      </w:r>
      <w:r>
        <w:rPr>
          <w:rFonts w:hint="eastAsia" w:ascii="仿宋" w:hAnsi="仿宋" w:eastAsia="仿宋" w:cs="仿宋"/>
          <w:color w:val="auto"/>
          <w:sz w:val="32"/>
          <w:szCs w:val="32"/>
          <w:lang w:eastAsia="zh-CN"/>
        </w:rPr>
        <w:t>：推动合作从项目援助、人才短期支援向共建创新平台、共育创新主体、共营创新生态转变；</w:t>
      </w:r>
      <w:r>
        <w:rPr>
          <w:rFonts w:hint="eastAsia" w:ascii="仿宋" w:hAnsi="仿宋" w:eastAsia="仿宋" w:cs="仿宋"/>
          <w:color w:val="auto"/>
          <w:sz w:val="32"/>
          <w:szCs w:val="32"/>
          <w:lang w:val="en-US" w:eastAsia="zh-CN"/>
        </w:rPr>
        <w:t>推动科技援疆从科技厅单一援助到安徽省科技系统的成系统、成体系援助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以科技创新支撑皮山县经济社会高质量发展为核心，直面科技援疆工作的短板和弱项，高位推动科技援疆体系化、系统化建设，结合各地市产业优势与皮山县实际需求，形成覆盖广泛、特色鲜明、协同增效的科技援疆项目集群，实现援疆工作从“单点支援”到“体系赋能”的根本性转变。</w:t>
      </w:r>
    </w:p>
    <w:p w14:paraId="020241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从“单向”到“双向”</w:t>
      </w:r>
      <w:r>
        <w:rPr>
          <w:rFonts w:hint="eastAsia" w:ascii="仿宋_GB2312" w:hAnsi="仿宋_GB2312" w:eastAsia="仿宋_GB2312" w:cs="仿宋_GB2312"/>
          <w:color w:val="auto"/>
          <w:sz w:val="32"/>
          <w:szCs w:val="32"/>
          <w:lang w:val="en-US" w:eastAsia="zh-CN"/>
        </w:rPr>
        <w:t>：鼓励有需求、有条件的皮山县企业到安徽设立“创新飞地”，利用安徽的科技人才资源进行研发，推动安徽的科技成果在皮山进行中试转化和产业化。</w:t>
      </w:r>
    </w:p>
    <w:p w14:paraId="50C652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楷体" w:hAnsi="楷体" w:eastAsia="楷体" w:cs="楷体"/>
          <w:color w:val="auto"/>
          <w:sz w:val="32"/>
          <w:szCs w:val="32"/>
          <w:lang w:val="en-US" w:eastAsia="zh-CN"/>
        </w:rPr>
        <w:t>聚焦重点领域：</w:t>
      </w:r>
      <w:r>
        <w:rPr>
          <w:rFonts w:hint="eastAsia" w:ascii="仿宋_GB2312" w:hAnsi="仿宋_GB2312" w:eastAsia="仿宋_GB2312" w:cs="仿宋_GB2312"/>
          <w:color w:val="auto"/>
          <w:sz w:val="32"/>
          <w:szCs w:val="32"/>
          <w:lang w:val="en-US" w:eastAsia="zh-CN"/>
        </w:rPr>
        <w:t>重点在中医药、现代农业、数字经济、荒漠化治理等领域联合设立科技合作专项，开展协同攻关。</w:t>
      </w:r>
    </w:p>
    <w:p w14:paraId="1915F118">
      <w:pPr>
        <w:pStyle w:val="4"/>
        <w:bidi w:val="0"/>
        <w:ind w:firstLine="600" w:firstLineChars="200"/>
        <w:rPr>
          <w:rFonts w:hint="eastAsia"/>
          <w:lang w:val="en-US" w:eastAsia="zh-CN"/>
        </w:rPr>
      </w:pPr>
      <w:bookmarkStart w:id="48" w:name="_Toc30576"/>
      <w:bookmarkStart w:id="49" w:name="_Toc3727"/>
      <w:r>
        <w:rPr>
          <w:rFonts w:hint="eastAsia"/>
          <w:lang w:val="en-US" w:eastAsia="zh-CN"/>
        </w:rPr>
        <w:t>（五）深化科普惠民“提质增效”，促进社会和谐发展</w:t>
      </w:r>
      <w:bookmarkEnd w:id="48"/>
      <w:bookmarkEnd w:id="49"/>
    </w:p>
    <w:p w14:paraId="42E57A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围绕总目标，鼓励创作一批贴近生活、通俗易懂的科普作品。充分利用短视频、社交媒体等新媒体渠道进行传播。重点针对青少年、农牧民、产业工人、老龄人群、少数民族公务员等五类重点人群，开展精准化、差异化的科普活动。以</w:t>
      </w:r>
      <w:r>
        <w:rPr>
          <w:rFonts w:hint="default" w:ascii="仿宋_GB2312" w:hAnsi="仿宋_GB2312" w:eastAsia="仿宋_GB2312" w:cs="仿宋_GB2312"/>
          <w:color w:val="auto"/>
          <w:sz w:val="32"/>
          <w:szCs w:val="32"/>
          <w:lang w:val="en-US" w:eastAsia="zh-CN"/>
        </w:rPr>
        <w:t>“科学照亮生活，创新赋能皮山”</w:t>
      </w:r>
      <w:r>
        <w:rPr>
          <w:rFonts w:hint="eastAsia" w:ascii="仿宋_GB2312" w:hAnsi="仿宋_GB2312" w:eastAsia="仿宋_GB2312" w:cs="仿宋_GB2312"/>
          <w:color w:val="auto"/>
          <w:sz w:val="32"/>
          <w:szCs w:val="32"/>
          <w:lang w:val="en-US" w:eastAsia="zh-CN"/>
        </w:rPr>
        <w:t>为主旨，</w:t>
      </w:r>
      <w:r>
        <w:rPr>
          <w:rFonts w:hint="default" w:ascii="仿宋_GB2312" w:hAnsi="仿宋_GB2312" w:eastAsia="仿宋_GB2312" w:cs="仿宋_GB2312"/>
          <w:color w:val="auto"/>
          <w:sz w:val="32"/>
          <w:szCs w:val="32"/>
          <w:lang w:val="en-US" w:eastAsia="zh-CN"/>
        </w:rPr>
        <w:t>通过科学知识的普及，照亮群众</w:t>
      </w:r>
      <w:r>
        <w:rPr>
          <w:rFonts w:hint="eastAsia" w:ascii="仿宋_GB2312" w:hAnsi="仿宋_GB2312" w:eastAsia="仿宋_GB2312" w:cs="仿宋_GB2312"/>
          <w:color w:val="auto"/>
          <w:sz w:val="32"/>
          <w:szCs w:val="32"/>
          <w:lang w:val="en-US" w:eastAsia="zh-CN"/>
        </w:rPr>
        <w:t>思想方向和</w:t>
      </w:r>
      <w:r>
        <w:rPr>
          <w:rFonts w:hint="default" w:ascii="仿宋_GB2312" w:hAnsi="仿宋_GB2312" w:eastAsia="仿宋_GB2312" w:cs="仿宋_GB2312"/>
          <w:color w:val="auto"/>
          <w:sz w:val="32"/>
          <w:szCs w:val="32"/>
          <w:lang w:val="en-US" w:eastAsia="zh-CN"/>
        </w:rPr>
        <w:t>生产生活之路，为皮山县的创新发展和现代化建设赋能。</w:t>
      </w:r>
    </w:p>
    <w:p w14:paraId="3F8700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lang w:val="en-US" w:eastAsia="zh-CN"/>
        </w:rPr>
      </w:pPr>
      <w:r>
        <w:rPr>
          <w:rFonts w:hint="eastAsia" w:ascii="楷体" w:hAnsi="楷体" w:eastAsia="楷体" w:cs="楷体"/>
          <w:color w:val="auto"/>
          <w:sz w:val="32"/>
          <w:szCs w:val="32"/>
          <w:lang w:val="en-US" w:eastAsia="zh-CN"/>
        </w:rPr>
        <w:t>选题聚焦：</w:t>
      </w:r>
      <w:r>
        <w:rPr>
          <w:rFonts w:hint="default" w:ascii="仿宋_GB2312" w:hAnsi="仿宋_GB2312" w:eastAsia="仿宋_GB2312" w:cs="仿宋_GB2312"/>
          <w:color w:val="auto"/>
          <w:sz w:val="32"/>
          <w:szCs w:val="32"/>
          <w:lang w:val="en-US" w:eastAsia="zh-CN"/>
        </w:rPr>
        <w:t>紧密围绕总目标，聚焦“</w:t>
      </w:r>
      <w:r>
        <w:rPr>
          <w:rFonts w:hint="eastAsia" w:ascii="仿宋_GB2312" w:hAnsi="仿宋_GB2312" w:eastAsia="仿宋_GB2312" w:cs="仿宋_GB2312"/>
          <w:color w:val="auto"/>
          <w:sz w:val="32"/>
          <w:szCs w:val="32"/>
          <w:lang w:val="en-US" w:eastAsia="zh-CN"/>
        </w:rPr>
        <w:t>政策宣传、公共安全、</w:t>
      </w:r>
      <w:r>
        <w:rPr>
          <w:rFonts w:hint="default" w:ascii="仿宋_GB2312" w:hAnsi="仿宋_GB2312" w:eastAsia="仿宋_GB2312" w:cs="仿宋_GB2312"/>
          <w:color w:val="auto"/>
          <w:sz w:val="32"/>
          <w:szCs w:val="32"/>
          <w:lang w:val="en-US" w:eastAsia="zh-CN"/>
        </w:rPr>
        <w:t>现代农业、卫生健康（传染病防治、慢性病管理）、应急避险（地震、沙尘暴）、前沿科技”六大主题。</w:t>
      </w:r>
    </w:p>
    <w:p w14:paraId="7BD08F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形式创新：</w:t>
      </w:r>
      <w:r>
        <w:rPr>
          <w:rFonts w:hint="default" w:ascii="仿宋_GB2312" w:hAnsi="仿宋_GB2312" w:eastAsia="仿宋_GB2312" w:cs="仿宋_GB2312"/>
          <w:color w:val="auto"/>
          <w:sz w:val="32"/>
          <w:szCs w:val="32"/>
          <w:lang w:val="en-US" w:eastAsia="zh-CN"/>
        </w:rPr>
        <w:t>创作一批</w:t>
      </w:r>
      <w:r>
        <w:rPr>
          <w:rFonts w:hint="eastAsia" w:ascii="仿宋_GB2312" w:hAnsi="仿宋_GB2312" w:eastAsia="仿宋_GB2312" w:cs="仿宋_GB2312"/>
          <w:color w:val="auto"/>
          <w:sz w:val="32"/>
          <w:szCs w:val="32"/>
          <w:lang w:val="en-US" w:eastAsia="zh-CN"/>
        </w:rPr>
        <w:t>适合皮山县域实情</w:t>
      </w:r>
      <w:r>
        <w:rPr>
          <w:rFonts w:hint="default" w:ascii="仿宋_GB2312" w:hAnsi="仿宋_GB2312" w:eastAsia="仿宋_GB2312" w:cs="仿宋_GB2312"/>
          <w:color w:val="auto"/>
          <w:sz w:val="32"/>
          <w:szCs w:val="32"/>
          <w:lang w:val="en-US" w:eastAsia="zh-CN"/>
        </w:rPr>
        <w:t>的科普短视频</w:t>
      </w:r>
      <w:r>
        <w:rPr>
          <w:rFonts w:hint="eastAsia" w:ascii="仿宋_GB2312" w:hAnsi="仿宋_GB2312" w:eastAsia="仿宋_GB2312" w:cs="仿宋_GB2312"/>
          <w:color w:val="auto"/>
          <w:sz w:val="32"/>
          <w:szCs w:val="32"/>
          <w:lang w:val="en-US" w:eastAsia="zh-CN"/>
        </w:rPr>
        <w:t>及引进一系列新型科普资源，以</w:t>
      </w:r>
      <w:r>
        <w:rPr>
          <w:rFonts w:hint="default" w:ascii="仿宋_GB2312" w:hAnsi="仿宋_GB2312" w:eastAsia="仿宋_GB2312" w:cs="仿宋_GB2312"/>
          <w:color w:val="auto"/>
          <w:sz w:val="32"/>
          <w:szCs w:val="32"/>
          <w:lang w:val="en-US" w:eastAsia="zh-CN"/>
        </w:rPr>
        <w:t>贴近生活、通俗易懂</w:t>
      </w:r>
      <w:r>
        <w:rPr>
          <w:rFonts w:hint="eastAsia" w:ascii="仿宋_GB2312" w:hAnsi="仿宋_GB2312" w:eastAsia="仿宋_GB2312" w:cs="仿宋_GB2312"/>
          <w:color w:val="auto"/>
          <w:sz w:val="32"/>
          <w:szCs w:val="32"/>
          <w:lang w:val="en-US" w:eastAsia="zh-CN"/>
        </w:rPr>
        <w:t>为主要表现形式</w:t>
      </w:r>
      <w:r>
        <w:rPr>
          <w:rFonts w:hint="default" w:ascii="仿宋_GB2312" w:hAnsi="仿宋_GB2312" w:eastAsia="仿宋_GB2312" w:cs="仿宋_GB2312"/>
          <w:color w:val="auto"/>
          <w:sz w:val="32"/>
          <w:szCs w:val="32"/>
          <w:lang w:val="en-US" w:eastAsia="zh-CN"/>
        </w:rPr>
        <w:t>，将</w:t>
      </w:r>
      <w:r>
        <w:rPr>
          <w:rFonts w:hint="eastAsia" w:ascii="仿宋_GB2312" w:hAnsi="仿宋_GB2312" w:eastAsia="仿宋_GB2312" w:cs="仿宋_GB2312"/>
          <w:color w:val="auto"/>
          <w:sz w:val="32"/>
          <w:szCs w:val="32"/>
          <w:lang w:val="en-US" w:eastAsia="zh-CN"/>
        </w:rPr>
        <w:t>党的政策和科普</w:t>
      </w:r>
      <w:r>
        <w:rPr>
          <w:rFonts w:hint="default" w:ascii="仿宋_GB2312" w:hAnsi="仿宋_GB2312" w:eastAsia="仿宋_GB2312" w:cs="仿宋_GB2312"/>
          <w:color w:val="auto"/>
          <w:sz w:val="32"/>
          <w:szCs w:val="32"/>
          <w:lang w:val="en-US" w:eastAsia="zh-CN"/>
        </w:rPr>
        <w:t>知识转化为群众喜闻乐见的</w:t>
      </w:r>
      <w:r>
        <w:rPr>
          <w:rFonts w:hint="eastAsia" w:ascii="仿宋_GB2312" w:hAnsi="仿宋_GB2312" w:eastAsia="仿宋_GB2312" w:cs="仿宋_GB2312"/>
          <w:color w:val="auto"/>
          <w:sz w:val="32"/>
          <w:szCs w:val="32"/>
          <w:lang w:val="en-US" w:eastAsia="zh-CN"/>
        </w:rPr>
        <w:t>作品内容</w:t>
      </w:r>
      <w:r>
        <w:rPr>
          <w:rFonts w:hint="default" w:ascii="仿宋_GB2312" w:hAnsi="仿宋_GB2312" w:eastAsia="仿宋_GB2312" w:cs="仿宋_GB2312"/>
          <w:color w:val="auto"/>
          <w:sz w:val="32"/>
          <w:szCs w:val="32"/>
          <w:lang w:val="en-US" w:eastAsia="zh-CN"/>
        </w:rPr>
        <w:t>。</w:t>
      </w:r>
    </w:p>
    <w:p w14:paraId="385496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重点人群服务：</w:t>
      </w:r>
      <w:r>
        <w:rPr>
          <w:rFonts w:hint="default" w:ascii="仿宋_GB2312" w:hAnsi="仿宋_GB2312" w:eastAsia="仿宋_GB2312" w:cs="仿宋_GB2312"/>
          <w:color w:val="auto"/>
          <w:sz w:val="32"/>
          <w:szCs w:val="32"/>
          <w:lang w:val="en-US" w:eastAsia="zh-CN"/>
        </w:rPr>
        <w:t>实施“科普</w:t>
      </w:r>
      <w:r>
        <w:rPr>
          <w:rFonts w:hint="eastAsia" w:ascii="仿宋_GB2312" w:hAnsi="仿宋_GB2312" w:eastAsia="仿宋_GB2312" w:cs="仿宋_GB2312"/>
          <w:color w:val="auto"/>
          <w:sz w:val="32"/>
          <w:szCs w:val="32"/>
          <w:lang w:val="en-US" w:eastAsia="zh-CN"/>
        </w:rPr>
        <w:t>六</w:t>
      </w:r>
      <w:r>
        <w:rPr>
          <w:rFonts w:hint="default" w:ascii="仿宋_GB2312" w:hAnsi="仿宋_GB2312" w:eastAsia="仿宋_GB2312" w:cs="仿宋_GB2312"/>
          <w:color w:val="auto"/>
          <w:sz w:val="32"/>
          <w:szCs w:val="32"/>
          <w:lang w:val="en-US" w:eastAsia="zh-CN"/>
        </w:rPr>
        <w:t>进”精准行动</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针对五类重点人群，开展差异化、精准化的科普服务：“科学育苗”行动（服务青少年）</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“科技兴农（牧）”行动（服务农牧民）</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“技能强工”行动（服务产业工人）</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“银龄科普”行动（服务</w:t>
      </w:r>
      <w:r>
        <w:rPr>
          <w:rFonts w:hint="eastAsia" w:ascii="仿宋_GB2312" w:hAnsi="仿宋_GB2312" w:eastAsia="仿宋_GB2312" w:cs="仿宋_GB2312"/>
          <w:color w:val="auto"/>
          <w:sz w:val="32"/>
          <w:szCs w:val="32"/>
          <w:lang w:val="en-US" w:eastAsia="zh-CN"/>
        </w:rPr>
        <w:t>退休老干部及</w:t>
      </w:r>
      <w:r>
        <w:rPr>
          <w:rFonts w:hint="default" w:ascii="仿宋_GB2312" w:hAnsi="仿宋_GB2312" w:eastAsia="仿宋_GB2312" w:cs="仿宋_GB2312"/>
          <w:color w:val="auto"/>
          <w:sz w:val="32"/>
          <w:szCs w:val="32"/>
          <w:lang w:val="en-US" w:eastAsia="zh-CN"/>
        </w:rPr>
        <w:t>老</w:t>
      </w:r>
      <w:r>
        <w:rPr>
          <w:rFonts w:hint="eastAsia" w:ascii="仿宋_GB2312" w:hAnsi="仿宋_GB2312" w:eastAsia="仿宋_GB2312" w:cs="仿宋_GB2312"/>
          <w:color w:val="auto"/>
          <w:sz w:val="32"/>
          <w:szCs w:val="32"/>
          <w:lang w:val="en-US" w:eastAsia="zh-CN"/>
        </w:rPr>
        <w:t>龄人群</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“科学决策赋能”行动（服务少数民族公务员）</w:t>
      </w:r>
      <w:r>
        <w:rPr>
          <w:rFonts w:hint="eastAsia" w:ascii="仿宋_GB2312" w:hAnsi="仿宋_GB2312" w:eastAsia="仿宋_GB2312" w:cs="仿宋_GB2312"/>
          <w:color w:val="auto"/>
          <w:sz w:val="32"/>
          <w:szCs w:val="32"/>
          <w:lang w:val="en-US" w:eastAsia="zh-CN"/>
        </w:rPr>
        <w:t>。</w:t>
      </w:r>
    </w:p>
    <w:p w14:paraId="73808B10">
      <w:pPr>
        <w:pStyle w:val="3"/>
        <w:bidi w:val="0"/>
        <w:ind w:firstLine="640" w:firstLineChars="200"/>
        <w:rPr>
          <w:rFonts w:hint="eastAsia"/>
          <w:lang w:val="en-US" w:eastAsia="zh-CN"/>
        </w:rPr>
      </w:pPr>
      <w:bookmarkStart w:id="50" w:name="_Toc312"/>
      <w:bookmarkStart w:id="51" w:name="_Toc27661"/>
      <w:r>
        <w:rPr>
          <w:rFonts w:hint="eastAsia"/>
          <w:lang w:val="en-US" w:eastAsia="zh-CN"/>
        </w:rPr>
        <w:t>四、保障措施</w:t>
      </w:r>
      <w:bookmarkEnd w:id="50"/>
      <w:bookmarkEnd w:id="51"/>
    </w:p>
    <w:p w14:paraId="0E9F0C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为确保本规划提出的各项目标和任务顺利实现，必须加强组织领导，完善政策保障，优化资源配置，营造良好环境。</w:t>
      </w:r>
    </w:p>
    <w:p w14:paraId="426378AD">
      <w:pPr>
        <w:pStyle w:val="4"/>
        <w:bidi w:val="0"/>
        <w:ind w:firstLine="600" w:firstLineChars="200"/>
        <w:rPr>
          <w:rFonts w:hint="eastAsia"/>
          <w:lang w:val="en-US" w:eastAsia="zh-CN"/>
        </w:rPr>
      </w:pPr>
      <w:bookmarkStart w:id="52" w:name="_Toc1291"/>
      <w:bookmarkStart w:id="53" w:name="_Toc7301"/>
      <w:r>
        <w:rPr>
          <w:rFonts w:hint="eastAsia"/>
          <w:lang w:val="en-US" w:eastAsia="zh-CN"/>
        </w:rPr>
        <w:t>（一）加强组织领导，健全统筹协调机制</w:t>
      </w:r>
      <w:bookmarkEnd w:id="52"/>
      <w:bookmarkEnd w:id="53"/>
    </w:p>
    <w:p w14:paraId="04F076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强化党对科技工作的领导：</w:t>
      </w:r>
      <w:r>
        <w:rPr>
          <w:rFonts w:hint="eastAsia" w:ascii="仿宋_GB2312" w:hAnsi="仿宋_GB2312" w:eastAsia="仿宋_GB2312" w:cs="仿宋_GB2312"/>
          <w:sz w:val="32"/>
          <w:szCs w:val="32"/>
          <w:lang w:val="en-US" w:eastAsia="zh-CN"/>
        </w:rPr>
        <w:t>坚持把党的领导贯穿于科技创新全过程各方面。完善县科技创新领导小组议事规则和决策程序，定期研究解决科技创新重大问题和事项。建立县、乡（镇）两级党政领导干部科技创新目标责任制，将规划实施成效纳入相关部门和领导干部考核评价体系。</w:t>
      </w:r>
    </w:p>
    <w:p w14:paraId="2EE49F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健全部门协同联动机制：</w:t>
      </w:r>
      <w:r>
        <w:rPr>
          <w:rFonts w:hint="eastAsia" w:ascii="仿宋_GB2312" w:hAnsi="仿宋_GB2312" w:eastAsia="仿宋_GB2312" w:cs="仿宋_GB2312"/>
          <w:sz w:val="32"/>
          <w:szCs w:val="32"/>
          <w:lang w:val="en-US" w:eastAsia="zh-CN"/>
        </w:rPr>
        <w:t>建立由科技主管部门牵头，发改、财政、工信、农业农村、教育、人社、金融等部门协同参与的联席会议制度。加强规划与年度计划、财政预算、土地供应、人才政策等的衔接配套，形成分工明确、协同推进的“大科技”工作格局。</w:t>
      </w:r>
    </w:p>
    <w:p w14:paraId="53543D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强化规划实施监测评估：</w:t>
      </w:r>
      <w:r>
        <w:rPr>
          <w:rFonts w:hint="eastAsia" w:ascii="仿宋_GB2312" w:hAnsi="仿宋_GB2312" w:eastAsia="仿宋_GB2312" w:cs="仿宋_GB2312"/>
          <w:sz w:val="32"/>
          <w:szCs w:val="32"/>
          <w:lang w:val="en-US" w:eastAsia="zh-CN"/>
        </w:rPr>
        <w:t>建立健全规划实施情况的动态监测、中期评估和总结评估机制。引入第三方评估，对规划确定的重大任务、重大工程、重大政策落实情况进行跟踪分析和效果评价。根据评估结果和形势变化，及时对规划内容进行动态调整和优化。</w:t>
      </w:r>
    </w:p>
    <w:p w14:paraId="451AECC7">
      <w:pPr>
        <w:pStyle w:val="4"/>
        <w:bidi w:val="0"/>
        <w:ind w:firstLine="600" w:firstLineChars="200"/>
        <w:rPr>
          <w:rFonts w:hint="eastAsia"/>
          <w:lang w:val="en-US" w:eastAsia="zh-CN"/>
        </w:rPr>
      </w:pPr>
      <w:bookmarkStart w:id="54" w:name="_Toc15035"/>
      <w:bookmarkStart w:id="55" w:name="_Toc10336"/>
      <w:r>
        <w:rPr>
          <w:rFonts w:hint="eastAsia"/>
          <w:lang w:val="en-US" w:eastAsia="zh-CN"/>
        </w:rPr>
        <w:t>（二）加大科技投入，强化多元资金保障</w:t>
      </w:r>
      <w:bookmarkEnd w:id="54"/>
      <w:bookmarkEnd w:id="55"/>
    </w:p>
    <w:p w14:paraId="58C41B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稳定增加财政科技投入：</w:t>
      </w:r>
      <w:r>
        <w:rPr>
          <w:rFonts w:hint="eastAsia" w:ascii="仿宋_GB2312" w:hAnsi="仿宋_GB2312" w:eastAsia="仿宋_GB2312" w:cs="仿宋_GB2312"/>
          <w:sz w:val="32"/>
          <w:szCs w:val="32"/>
          <w:lang w:val="en-US" w:eastAsia="zh-CN"/>
        </w:rPr>
        <w:t>建立财政科技投入稳定增长机制，确保地方财政科技支出增长幅度高于财政经常性收入增长幅度。优化财政资金投入结构，加大对基础研究、前沿技术、社会公益研究和重大共性关键技术研究的稳定支持力度。</w:t>
      </w:r>
    </w:p>
    <w:p w14:paraId="5A247F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引导激励企业加大投入：</w:t>
      </w:r>
      <w:r>
        <w:rPr>
          <w:rFonts w:hint="eastAsia" w:ascii="仿宋_GB2312" w:hAnsi="仿宋_GB2312" w:eastAsia="仿宋_GB2312" w:cs="仿宋_GB2312"/>
          <w:sz w:val="32"/>
          <w:szCs w:val="32"/>
          <w:lang w:val="en-US" w:eastAsia="zh-CN"/>
        </w:rPr>
        <w:t>全面落实各项税收优惠政策，确保企业“应享尽享”。建立企业研发投入排行榜和红名单制度，对投入大户予以公开表彰和重点支持。推动国有企业将研发投入和创新能力建设纳入经营业绩考核。</w:t>
      </w:r>
    </w:p>
    <w:p w14:paraId="6D8C45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大力发展科技金融：</w:t>
      </w:r>
      <w:r>
        <w:rPr>
          <w:rFonts w:hint="eastAsia" w:ascii="仿宋_GB2312" w:hAnsi="仿宋_GB2312" w:eastAsia="仿宋_GB2312" w:cs="仿宋_GB2312"/>
          <w:sz w:val="32"/>
          <w:szCs w:val="32"/>
          <w:lang w:val="en-US" w:eastAsia="zh-CN"/>
        </w:rPr>
        <w:t>设立皮山县科技创新创业引导基金，吸引社会资本共同设立子基金，支持种子期、初创期科技企业发展。鼓励商业银行设立科技支行或专营部门，开展知识产权质押贷款、股权质押贷款、科技保险等业务。支持符合条件的科技企业利用多层次资本市场进行融资。</w:t>
      </w:r>
    </w:p>
    <w:p w14:paraId="78EF8622">
      <w:pPr>
        <w:pStyle w:val="4"/>
        <w:bidi w:val="0"/>
        <w:ind w:firstLine="600" w:firstLineChars="200"/>
        <w:rPr>
          <w:rFonts w:hint="eastAsia"/>
          <w:lang w:val="en-US" w:eastAsia="zh-CN"/>
        </w:rPr>
      </w:pPr>
      <w:bookmarkStart w:id="56" w:name="_Toc6141"/>
      <w:bookmarkStart w:id="57" w:name="_Toc10273"/>
      <w:r>
        <w:rPr>
          <w:rFonts w:hint="eastAsia"/>
          <w:lang w:val="en-US" w:eastAsia="zh-CN"/>
        </w:rPr>
        <w:t>（三）深化科技体制改革，优化创新生态环境</w:t>
      </w:r>
      <w:bookmarkEnd w:id="56"/>
      <w:bookmarkEnd w:id="57"/>
    </w:p>
    <w:p w14:paraId="7C68B4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健全创新激励机制：</w:t>
      </w:r>
      <w:r>
        <w:rPr>
          <w:rFonts w:hint="eastAsia" w:ascii="仿宋_GB2312" w:hAnsi="仿宋_GB2312" w:eastAsia="仿宋_GB2312" w:cs="仿宋_GB2312"/>
          <w:sz w:val="32"/>
          <w:szCs w:val="32"/>
          <w:lang w:val="en-US" w:eastAsia="zh-CN"/>
        </w:rPr>
        <w:t>落实科技成果转化收益分配政策，提高科研人员成果转化收益分享比例。开展赋予科研人员职务科技成果所有权或长期使用权试点。建立健全创新容错纠错机制，为敢于创新的干部和科研人员撑腰鼓劲。</w:t>
      </w:r>
    </w:p>
    <w:p w14:paraId="139E35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加强知识产权保护：</w:t>
      </w:r>
      <w:r>
        <w:rPr>
          <w:rFonts w:hint="eastAsia" w:ascii="仿宋_GB2312" w:hAnsi="仿宋_GB2312" w:eastAsia="仿宋_GB2312" w:cs="仿宋_GB2312"/>
          <w:sz w:val="32"/>
          <w:szCs w:val="32"/>
          <w:lang w:val="en-US" w:eastAsia="zh-CN"/>
        </w:rPr>
        <w:t>加大知识产权维权援助力度，提供快速审查、快速确权、快速维权服务。加大行政执法力度，严厉打击知识产权侵权行为。推动企业建立知识产权预警和风险防控机制。</w:t>
      </w:r>
    </w:p>
    <w:p w14:paraId="710664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营造崇尚创新的文化氛围：</w:t>
      </w:r>
      <w:r>
        <w:rPr>
          <w:rFonts w:hint="eastAsia" w:ascii="仿宋_GB2312" w:hAnsi="仿宋_GB2312" w:eastAsia="仿宋_GB2312" w:cs="仿宋_GB2312"/>
          <w:sz w:val="32"/>
          <w:szCs w:val="32"/>
          <w:lang w:val="en-US" w:eastAsia="zh-CN"/>
        </w:rPr>
        <w:t>大力弘扬科学家精神、工匠精神、企业家精神。加强科研诚信和学风建设，对学术不端行为“零容忍”。畅通公众参与创新的渠道，形成人人崇尚创新、人人渴望创新、人人皆可创新的社会氛围。</w:t>
      </w:r>
    </w:p>
    <w:p w14:paraId="53EB21A0">
      <w:pPr>
        <w:pStyle w:val="4"/>
        <w:bidi w:val="0"/>
        <w:ind w:firstLine="600" w:firstLineChars="200"/>
        <w:rPr>
          <w:rFonts w:hint="eastAsia"/>
          <w:lang w:val="en-US" w:eastAsia="zh-CN"/>
        </w:rPr>
      </w:pPr>
      <w:bookmarkStart w:id="58" w:name="_Toc19017"/>
      <w:bookmarkStart w:id="59" w:name="_Toc17219"/>
      <w:r>
        <w:rPr>
          <w:rFonts w:hint="eastAsia"/>
          <w:lang w:val="en-US" w:eastAsia="zh-CN"/>
        </w:rPr>
        <w:t>（四）强化监测评估，确保规划落地见效</w:t>
      </w:r>
      <w:bookmarkEnd w:id="58"/>
      <w:bookmarkEnd w:id="59"/>
    </w:p>
    <w:p w14:paraId="0A55D1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制定年度计划：</w:t>
      </w:r>
      <w:r>
        <w:rPr>
          <w:rFonts w:hint="eastAsia" w:ascii="仿宋_GB2312" w:hAnsi="仿宋_GB2312" w:eastAsia="仿宋_GB2312" w:cs="仿宋_GB2312"/>
          <w:sz w:val="32"/>
          <w:szCs w:val="32"/>
          <w:lang w:val="en-US" w:eastAsia="zh-CN"/>
        </w:rPr>
        <w:t>将本规划确定的目标任务分解到各年度，制定详细的年度工作计划，明确责任部门和完成时限。</w:t>
      </w:r>
    </w:p>
    <w:p w14:paraId="72DEF1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建立监测体系：</w:t>
      </w:r>
      <w:r>
        <w:rPr>
          <w:rFonts w:hint="eastAsia" w:ascii="仿宋_GB2312" w:hAnsi="仿宋_GB2312" w:eastAsia="仿宋_GB2312" w:cs="仿宋_GB2312"/>
          <w:sz w:val="32"/>
          <w:szCs w:val="32"/>
          <w:lang w:val="en-US" w:eastAsia="zh-CN"/>
        </w:rPr>
        <w:t>构建规划实施监测指标体系，充分利用大数据等现代信息技术，对规划实施情况进行实时跟踪和动态监测。</w:t>
      </w:r>
    </w:p>
    <w:p w14:paraId="388484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开展评估考核：</w:t>
      </w:r>
      <w:r>
        <w:rPr>
          <w:rFonts w:hint="eastAsia" w:ascii="仿宋_GB2312" w:hAnsi="仿宋_GB2312" w:eastAsia="仿宋_GB2312" w:cs="仿宋_GB2312"/>
          <w:sz w:val="32"/>
          <w:szCs w:val="32"/>
          <w:lang w:val="en-US" w:eastAsia="zh-CN"/>
        </w:rPr>
        <w:t>在2027年底开展规划中期评估，2030年底开展终期评估。评估结果作为改进政府和各部门工作、配置公共资源的重要依据。</w:t>
      </w:r>
    </w:p>
    <w:p w14:paraId="4C4754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加强宣传引导：</w:t>
      </w:r>
      <w:r>
        <w:rPr>
          <w:rFonts w:hint="eastAsia" w:ascii="仿宋_GB2312" w:hAnsi="仿宋_GB2312" w:eastAsia="仿宋_GB2312" w:cs="仿宋_GB2312"/>
          <w:sz w:val="32"/>
          <w:szCs w:val="32"/>
          <w:lang w:val="en-US" w:eastAsia="zh-CN"/>
        </w:rPr>
        <w:t>做好规划的宣传解读工作，及时向社会公布规划实施进展，回应社会关切，凝聚社会共识，动员全社会力量共同推进规划实施。</w:t>
      </w:r>
    </w:p>
    <w:p w14:paraId="27A8F759">
      <w:pPr>
        <w:pStyle w:val="2"/>
        <w:rPr>
          <w:rFonts w:hint="eastAsia"/>
          <w:lang w:val="en-US" w:eastAsia="zh-CN"/>
        </w:rPr>
      </w:pPr>
    </w:p>
    <w:p w14:paraId="323CD423">
      <w:pPr>
        <w:pStyle w:val="3"/>
        <w:bidi w:val="0"/>
        <w:rPr>
          <w:rFonts w:hint="eastAsia"/>
          <w:lang w:val="en-US" w:eastAsia="zh-CN"/>
        </w:rPr>
      </w:pPr>
      <w:bookmarkStart w:id="60" w:name="_Toc16363"/>
      <w:bookmarkStart w:id="61" w:name="_Toc23503"/>
      <w:r>
        <w:rPr>
          <w:rFonts w:hint="eastAsia"/>
          <w:lang w:val="en-US" w:eastAsia="zh-CN"/>
        </w:rPr>
        <w:t>结语</w:t>
      </w:r>
      <w:bookmarkEnd w:id="60"/>
      <w:bookmarkEnd w:id="61"/>
    </w:p>
    <w:p w14:paraId="1BDD32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蓝图已经绘就，奋斗正当其时。实现“十五五”科技创新发展规划的目标，任务艰巨，使命光荣。全县上下要更加紧密地团结起来，在县委、县政府的领导下，坚定信心、锐意进取、埋头苦干、勇毅前行，奋力开创皮山县科技创新事业新局面，为全面建设社会主义现代化皮山作出新的更大贡献！</w:t>
      </w: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408C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762EB">
                          <w:pPr>
                            <w:pStyle w:val="8"/>
                            <w:rPr>
                              <w:rFonts w:hint="eastAsia" w:asciiTheme="minorEastAsia" w:hAnsiTheme="minorEastAsia" w:eastAsiaTheme="minorEastAsia" w:cstheme="minorEastAsia"/>
                              <w:sz w:val="28"/>
                              <w:szCs w:val="40"/>
                              <w:lang w:eastAsia="zh-CN"/>
                            </w:rPr>
                          </w:pPr>
                          <w:r>
                            <w:rPr>
                              <w:rFonts w:hint="eastAsia" w:asciiTheme="minorEastAsia" w:hAnsiTheme="minorEastAsia" w:eastAsiaTheme="minorEastAsia" w:cstheme="minorEastAsia"/>
                              <w:sz w:val="28"/>
                              <w:szCs w:val="40"/>
                              <w:lang w:eastAsia="zh-CN"/>
                            </w:rPr>
                            <w:fldChar w:fldCharType="begin"/>
                          </w:r>
                          <w:r>
                            <w:rPr>
                              <w:rFonts w:hint="eastAsia" w:asciiTheme="minorEastAsia" w:hAnsiTheme="minorEastAsia" w:eastAsiaTheme="minorEastAsia" w:cstheme="minorEastAsia"/>
                              <w:sz w:val="28"/>
                              <w:szCs w:val="40"/>
                              <w:lang w:eastAsia="zh-CN"/>
                            </w:rPr>
                            <w:instrText xml:space="preserve"> PAGE  \* MERGEFORMAT </w:instrText>
                          </w:r>
                          <w:r>
                            <w:rPr>
                              <w:rFonts w:hint="eastAsia" w:asciiTheme="minorEastAsia" w:hAnsiTheme="minorEastAsia" w:eastAsiaTheme="minorEastAsia" w:cstheme="minorEastAsia"/>
                              <w:sz w:val="28"/>
                              <w:szCs w:val="40"/>
                              <w:lang w:eastAsia="zh-CN"/>
                            </w:rPr>
                            <w:fldChar w:fldCharType="separate"/>
                          </w:r>
                          <w:r>
                            <w:rPr>
                              <w:rFonts w:hint="eastAsia" w:asciiTheme="minorEastAsia" w:hAnsiTheme="minorEastAsia" w:eastAsiaTheme="minorEastAsia" w:cstheme="minorEastAsia"/>
                              <w:sz w:val="28"/>
                              <w:szCs w:val="40"/>
                              <w:lang w:eastAsia="zh-CN"/>
                            </w:rPr>
                            <w:t>- 4 -</w:t>
                          </w:r>
                          <w:r>
                            <w:rPr>
                              <w:rFonts w:hint="eastAsia" w:asciiTheme="minorEastAsia" w:hAnsiTheme="minorEastAsia" w:eastAsiaTheme="minorEastAsia" w:cstheme="minorEastAsia"/>
                              <w:sz w:val="28"/>
                              <w:szCs w:val="4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8762EB">
                    <w:pPr>
                      <w:pStyle w:val="8"/>
                      <w:rPr>
                        <w:rFonts w:hint="eastAsia" w:asciiTheme="minorEastAsia" w:hAnsiTheme="minorEastAsia" w:eastAsiaTheme="minorEastAsia" w:cstheme="minorEastAsia"/>
                        <w:sz w:val="28"/>
                        <w:szCs w:val="40"/>
                        <w:lang w:eastAsia="zh-CN"/>
                      </w:rPr>
                    </w:pPr>
                    <w:r>
                      <w:rPr>
                        <w:rFonts w:hint="eastAsia" w:asciiTheme="minorEastAsia" w:hAnsiTheme="minorEastAsia" w:eastAsiaTheme="minorEastAsia" w:cstheme="minorEastAsia"/>
                        <w:sz w:val="28"/>
                        <w:szCs w:val="40"/>
                        <w:lang w:eastAsia="zh-CN"/>
                      </w:rPr>
                      <w:fldChar w:fldCharType="begin"/>
                    </w:r>
                    <w:r>
                      <w:rPr>
                        <w:rFonts w:hint="eastAsia" w:asciiTheme="minorEastAsia" w:hAnsiTheme="minorEastAsia" w:eastAsiaTheme="minorEastAsia" w:cstheme="minorEastAsia"/>
                        <w:sz w:val="28"/>
                        <w:szCs w:val="40"/>
                        <w:lang w:eastAsia="zh-CN"/>
                      </w:rPr>
                      <w:instrText xml:space="preserve"> PAGE  \* MERGEFORMAT </w:instrText>
                    </w:r>
                    <w:r>
                      <w:rPr>
                        <w:rFonts w:hint="eastAsia" w:asciiTheme="minorEastAsia" w:hAnsiTheme="minorEastAsia" w:eastAsiaTheme="minorEastAsia" w:cstheme="minorEastAsia"/>
                        <w:sz w:val="28"/>
                        <w:szCs w:val="40"/>
                        <w:lang w:eastAsia="zh-CN"/>
                      </w:rPr>
                      <w:fldChar w:fldCharType="separate"/>
                    </w:r>
                    <w:r>
                      <w:rPr>
                        <w:rFonts w:hint="eastAsia" w:asciiTheme="minorEastAsia" w:hAnsiTheme="minorEastAsia" w:eastAsiaTheme="minorEastAsia" w:cstheme="minorEastAsia"/>
                        <w:sz w:val="28"/>
                        <w:szCs w:val="40"/>
                        <w:lang w:eastAsia="zh-CN"/>
                      </w:rPr>
                      <w:t>- 4 -</w:t>
                    </w:r>
                    <w:r>
                      <w:rPr>
                        <w:rFonts w:hint="eastAsia" w:asciiTheme="minorEastAsia" w:hAnsiTheme="minorEastAsia" w:eastAsiaTheme="minorEastAsia" w:cstheme="minorEastAsia"/>
                        <w:sz w:val="28"/>
                        <w:szCs w:val="40"/>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E63B3"/>
    <w:rsid w:val="01875DDB"/>
    <w:rsid w:val="018A49AC"/>
    <w:rsid w:val="050130B2"/>
    <w:rsid w:val="07B70EF4"/>
    <w:rsid w:val="08057C6C"/>
    <w:rsid w:val="08537930"/>
    <w:rsid w:val="09103B81"/>
    <w:rsid w:val="0C775E3F"/>
    <w:rsid w:val="0FE906C5"/>
    <w:rsid w:val="103E7FAD"/>
    <w:rsid w:val="11800151"/>
    <w:rsid w:val="13D63AE3"/>
    <w:rsid w:val="169E7FCF"/>
    <w:rsid w:val="16B160E8"/>
    <w:rsid w:val="194E0C68"/>
    <w:rsid w:val="1C8354AF"/>
    <w:rsid w:val="1D316D67"/>
    <w:rsid w:val="1D7C2114"/>
    <w:rsid w:val="1E644C06"/>
    <w:rsid w:val="1E710750"/>
    <w:rsid w:val="2B9144CC"/>
    <w:rsid w:val="2BC75AA7"/>
    <w:rsid w:val="2D3B3A44"/>
    <w:rsid w:val="2D6C692D"/>
    <w:rsid w:val="2E536EC1"/>
    <w:rsid w:val="319F3574"/>
    <w:rsid w:val="33026AB6"/>
    <w:rsid w:val="34145AC4"/>
    <w:rsid w:val="37EF4714"/>
    <w:rsid w:val="385E66A2"/>
    <w:rsid w:val="3C976182"/>
    <w:rsid w:val="3E047890"/>
    <w:rsid w:val="3FB01F4D"/>
    <w:rsid w:val="3FC25C55"/>
    <w:rsid w:val="433E1DAF"/>
    <w:rsid w:val="44957B45"/>
    <w:rsid w:val="474C7708"/>
    <w:rsid w:val="49211D0B"/>
    <w:rsid w:val="4E0D04D1"/>
    <w:rsid w:val="4F3348C5"/>
    <w:rsid w:val="4F787CF2"/>
    <w:rsid w:val="52971BC5"/>
    <w:rsid w:val="531D7740"/>
    <w:rsid w:val="59E96EE6"/>
    <w:rsid w:val="5D660D8C"/>
    <w:rsid w:val="5F3D2901"/>
    <w:rsid w:val="603E64A2"/>
    <w:rsid w:val="653624A1"/>
    <w:rsid w:val="67650933"/>
    <w:rsid w:val="69757E2D"/>
    <w:rsid w:val="6B594EFF"/>
    <w:rsid w:val="6BDD7E9F"/>
    <w:rsid w:val="70C76E23"/>
    <w:rsid w:val="72345C8F"/>
    <w:rsid w:val="72AC6FB0"/>
    <w:rsid w:val="73DC65DE"/>
    <w:rsid w:val="7439022F"/>
    <w:rsid w:val="76EF2BD0"/>
    <w:rsid w:val="7A1D73D0"/>
    <w:rsid w:val="7ADD20A4"/>
    <w:rsid w:val="7BA071CF"/>
    <w:rsid w:val="7C55240A"/>
    <w:rsid w:val="7C5C1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宋体" w:asciiTheme="minorAscii" w:hAnsiTheme="minorAscii" w:cstheme="minorBidi"/>
      <w:kern w:val="2"/>
      <w:sz w:val="24"/>
      <w:szCs w:val="22"/>
      <w:lang w:val="en-US" w:eastAsia="zh-CN" w:bidi="ar-SA"/>
    </w:rPr>
  </w:style>
  <w:style w:type="paragraph" w:styleId="3">
    <w:name w:val="heading 1"/>
    <w:basedOn w:val="1"/>
    <w:next w:val="1"/>
    <w:link w:val="19"/>
    <w:qFormat/>
    <w:uiPriority w:val="0"/>
    <w:pPr>
      <w:spacing w:line="360" w:lineRule="auto"/>
      <w:jc w:val="left"/>
      <w:outlineLvl w:val="0"/>
    </w:pPr>
    <w:rPr>
      <w:rFonts w:ascii="Times New Roman" w:hAnsi="Times New Roman" w:eastAsia="黑体"/>
      <w:kern w:val="44"/>
      <w:sz w:val="32"/>
      <w:szCs w:val="32"/>
    </w:rPr>
  </w:style>
  <w:style w:type="paragraph" w:styleId="4">
    <w:name w:val="heading 2"/>
    <w:basedOn w:val="1"/>
    <w:next w:val="1"/>
    <w:link w:val="18"/>
    <w:unhideWhenUsed/>
    <w:qFormat/>
    <w:uiPriority w:val="0"/>
    <w:pPr>
      <w:keepNext/>
      <w:keepLines/>
      <w:spacing w:line="360" w:lineRule="auto"/>
      <w:jc w:val="left"/>
      <w:outlineLvl w:val="1"/>
    </w:pPr>
    <w:rPr>
      <w:rFonts w:ascii="Times New Roman" w:hAnsi="Times New Roman" w:eastAsia="黑体"/>
      <w:kern w:val="0"/>
      <w:sz w:val="30"/>
      <w:szCs w:val="30"/>
    </w:rPr>
  </w:style>
  <w:style w:type="paragraph" w:styleId="5">
    <w:name w:val="heading 3"/>
    <w:basedOn w:val="1"/>
    <w:next w:val="1"/>
    <w:link w:val="20"/>
    <w:unhideWhenUsed/>
    <w:qFormat/>
    <w:uiPriority w:val="0"/>
    <w:pPr>
      <w:spacing w:line="360" w:lineRule="auto"/>
      <w:jc w:val="left"/>
      <w:outlineLvl w:val="2"/>
    </w:pPr>
    <w:rPr>
      <w:rFonts w:ascii="Times New Roman" w:hAnsi="Times New Roman" w:eastAsia="黑体"/>
      <w:kern w:val="0"/>
      <w:sz w:val="28"/>
      <w:szCs w:val="28"/>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adjustRightInd w:val="0"/>
      <w:snapToGrid w:val="0"/>
      <w:spacing w:after="120"/>
      <w:jc w:val="left"/>
    </w:pPr>
    <w:rPr>
      <w:rFonts w:ascii="Tahoma" w:hAnsi="Tahoma" w:eastAsia="方正仿宋_GBK"/>
      <w:sz w:val="32"/>
      <w:szCs w:val="32"/>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rPr>
      <w:rFonts w:ascii="Times New Roman" w:hAnsi="Times New Roman" w:eastAsia="黑体" w:cs="Times New Roman"/>
      <w:szCs w:val="24"/>
    </w:rPr>
  </w:style>
  <w:style w:type="paragraph" w:styleId="11">
    <w:name w:val="List"/>
    <w:basedOn w:val="1"/>
    <w:qFormat/>
    <w:uiPriority w:val="0"/>
    <w:pPr>
      <w:ind w:left="420" w:hanging="420"/>
    </w:pPr>
  </w:style>
  <w:style w:type="paragraph" w:styleId="12">
    <w:name w:val="toc 2"/>
    <w:basedOn w:val="1"/>
    <w:next w:val="1"/>
    <w:qFormat/>
    <w:uiPriority w:val="0"/>
    <w:pPr>
      <w:ind w:left="420" w:leftChars="200"/>
    </w:p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2 Char"/>
    <w:basedOn w:val="16"/>
    <w:link w:val="4"/>
    <w:qFormat/>
    <w:uiPriority w:val="0"/>
    <w:rPr>
      <w:rFonts w:ascii="Times New Roman" w:hAnsi="Times New Roman" w:eastAsia="黑体" w:cs="Times New Roman"/>
      <w:bCs/>
      <w:sz w:val="24"/>
      <w:szCs w:val="32"/>
    </w:rPr>
  </w:style>
  <w:style w:type="character" w:customStyle="1" w:styleId="19">
    <w:name w:val="标题 1 字符"/>
    <w:link w:val="3"/>
    <w:qFormat/>
    <w:uiPriority w:val="0"/>
    <w:rPr>
      <w:rFonts w:ascii="Times New Roman" w:hAnsi="Times New Roman" w:eastAsia="黑体"/>
      <w:kern w:val="44"/>
      <w:sz w:val="32"/>
      <w:szCs w:val="32"/>
    </w:rPr>
  </w:style>
  <w:style w:type="character" w:customStyle="1" w:styleId="20">
    <w:name w:val="标题 3 字符"/>
    <w:link w:val="5"/>
    <w:qFormat/>
    <w:uiPriority w:val="0"/>
    <w:rPr>
      <w:rFonts w:ascii="Times New Roman" w:hAnsi="Times New Roman" w:eastAsia="黑体"/>
      <w:sz w:val="28"/>
      <w:szCs w:val="28"/>
    </w:rPr>
  </w:style>
  <w:style w:type="paragraph" w:customStyle="1" w:styleId="21">
    <w:name w:val="WPSOffice手动目录 1"/>
    <w:qFormat/>
    <w:uiPriority w:val="0"/>
    <w:rPr>
      <w:rFonts w:ascii="Times New Roman" w:hAnsi="Times New Roman" w:eastAsia="宋体" w:cs="Times New Roman"/>
      <w:lang w:val="en-US" w:eastAsia="zh-CN" w:bidi="ar-SA"/>
    </w:rPr>
  </w:style>
  <w:style w:type="paragraph" w:customStyle="1" w:styleId="22">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6419</Words>
  <Characters>6585</Characters>
  <Lines>0</Lines>
  <Paragraphs>0</Paragraphs>
  <TotalTime>20</TotalTime>
  <ScaleCrop>false</ScaleCrop>
  <LinksUpToDate>false</LinksUpToDate>
  <CharactersWithSpaces>6684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2025-03-08T13:09:00Z</dcterms:created>
  <dc:creator>Administrator</dc:creator>
  <cp:lastModifiedBy>Administrator</cp:lastModifiedBy>
  <cp:lastPrinted>2026-09-07T10:23:19Z</cp:lastPrinted>
  <dcterms:modified xsi:type="dcterms:W3CDTF">2026-09-07T10:24:11Z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EB7201519C4D4F40AD33E4D3BF7351AF_13</vt:lpwstr>
  </property>
  <property fmtid="{D5CDD505-2E9C-101B-9397-08002B2CF9AE}" pid="4" name="KSOTemplateDocerSaveRecord">
    <vt:lpwstr>eyJoZGlkIjoiZGZkNGYzMGVkMDU1ZWJiM2Q4NDhmMGI0MDMwZTdiOGMiLCJ1c2VySWQiOiIyOTEwOTM0MDcifQ==</vt:lpwstr>
  </property>
</Properties>
</file>